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53C" w:rsidRPr="00B80566" w:rsidRDefault="0064053C">
      <w:pPr>
        <w:pStyle w:val="Heading0"/>
        <w:keepNext/>
        <w:keepLines/>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pacing w:after="26"/>
        <w:rPr>
          <w:rFonts w:asciiTheme="minorHAnsi" w:hAnsiTheme="minorHAnsi" w:cs="Calibri"/>
          <w:lang w:val="en-US"/>
        </w:rPr>
      </w:pPr>
      <w:r w:rsidRPr="00B80566">
        <w:rPr>
          <w:rFonts w:asciiTheme="minorHAnsi" w:hAnsiTheme="minorHAnsi" w:cs="Calibri"/>
          <w:lang w:val="en-US"/>
        </w:rPr>
        <w:t xml:space="preserve">The role of communities </w:t>
      </w:r>
      <w:r w:rsidRPr="00B80566">
        <w:rPr>
          <w:rFonts w:asciiTheme="minorHAnsi" w:hAnsiTheme="minorHAnsi" w:cs="Calibri"/>
          <w:lang w:val="en-US"/>
        </w:rPr>
        <w:br/>
        <w:t xml:space="preserve">(open source, open data, open </w:t>
      </w:r>
      <w:proofErr w:type="spellStart"/>
      <w:r w:rsidRPr="00B80566">
        <w:rPr>
          <w:rFonts w:asciiTheme="minorHAnsi" w:hAnsiTheme="minorHAnsi" w:cs="Calibri"/>
          <w:lang w:val="en-US"/>
        </w:rPr>
        <w:t>gov</w:t>
      </w:r>
      <w:proofErr w:type="spellEnd"/>
      <w:r w:rsidRPr="00B80566">
        <w:rPr>
          <w:rFonts w:asciiTheme="minorHAnsi" w:hAnsiTheme="minorHAnsi" w:cs="Calibri"/>
          <w:lang w:val="en-US"/>
        </w:rPr>
        <w:t>)</w:t>
      </w:r>
    </w:p>
    <w:p w:rsidR="0064053C" w:rsidRPr="00B80566" w:rsidRDefault="0064053C">
      <w:pPr>
        <w:keepLines/>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rPr>
          <w:rFonts w:asciiTheme="minorHAnsi" w:hAnsiTheme="minorHAnsi" w:cs="Calibri"/>
          <w:sz w:val="22"/>
          <w:szCs w:val="22"/>
          <w:lang w:val="en-US"/>
        </w:rPr>
      </w:pPr>
    </w:p>
    <w:p w:rsidR="0064053C" w:rsidRPr="00B80566" w:rsidRDefault="0064053C">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rPr>
          <w:rFonts w:asciiTheme="minorHAnsi" w:hAnsiTheme="minorHAnsi" w:cs="Calibri"/>
          <w:sz w:val="22"/>
          <w:szCs w:val="22"/>
          <w:lang w:val="en-US"/>
        </w:rPr>
      </w:pPr>
    </w:p>
    <w:p w:rsidR="0064053C" w:rsidRPr="00B80566" w:rsidRDefault="0064053C">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rPr>
          <w:rFonts w:asciiTheme="minorHAnsi" w:hAnsiTheme="minorHAnsi" w:cs="Calibri"/>
          <w:i/>
          <w:sz w:val="22"/>
          <w:szCs w:val="22"/>
          <w:lang w:val="en-US"/>
        </w:rPr>
      </w:pPr>
      <w:r w:rsidRPr="00B80566">
        <w:rPr>
          <w:rFonts w:asciiTheme="minorHAnsi" w:hAnsiTheme="minorHAnsi" w:cs="Calibri"/>
          <w:b/>
          <w:bCs/>
          <w:sz w:val="22"/>
          <w:szCs w:val="22"/>
          <w:lang w:val="en-US"/>
        </w:rPr>
        <w:t>Mathilde Bras</w:t>
      </w:r>
      <w:r w:rsidRPr="00B80566">
        <w:rPr>
          <w:rFonts w:asciiTheme="minorHAnsi" w:hAnsiTheme="minorHAnsi" w:cs="Calibri"/>
          <w:sz w:val="22"/>
          <w:szCs w:val="22"/>
          <w:lang w:val="en-US"/>
        </w:rPr>
        <w:t xml:space="preserve">, </w:t>
      </w:r>
      <w:r w:rsidR="00B80566">
        <w:rPr>
          <w:rFonts w:asciiTheme="minorHAnsi" w:hAnsiTheme="minorHAnsi" w:cs="Calibri"/>
          <w:sz w:val="22"/>
          <w:szCs w:val="22"/>
          <w:lang w:val="en-US"/>
        </w:rPr>
        <w:br/>
      </w:r>
      <w:r w:rsidRPr="00B80566">
        <w:rPr>
          <w:rFonts w:asciiTheme="minorHAnsi" w:hAnsiTheme="minorHAnsi" w:cs="Calibri"/>
          <w:i/>
          <w:sz w:val="22"/>
          <w:szCs w:val="22"/>
          <w:lang w:val="en-US"/>
        </w:rPr>
        <w:t xml:space="preserve">expert on the digital transition of public actions, member of </w:t>
      </w:r>
      <w:proofErr w:type="spellStart"/>
      <w:r w:rsidRPr="00B80566">
        <w:rPr>
          <w:rFonts w:asciiTheme="minorHAnsi" w:hAnsiTheme="minorHAnsi" w:cs="Calibri"/>
          <w:i/>
          <w:sz w:val="22"/>
          <w:szCs w:val="22"/>
          <w:lang w:val="en-US"/>
        </w:rPr>
        <w:t>Fondation</w:t>
      </w:r>
      <w:proofErr w:type="spellEnd"/>
      <w:r w:rsidRPr="00B80566">
        <w:rPr>
          <w:rFonts w:asciiTheme="minorHAnsi" w:hAnsiTheme="minorHAnsi" w:cs="Calibri"/>
          <w:i/>
          <w:sz w:val="22"/>
          <w:szCs w:val="22"/>
          <w:lang w:val="en-US"/>
        </w:rPr>
        <w:t xml:space="preserve"> Internet Nouvelle </w:t>
      </w:r>
      <w:proofErr w:type="spellStart"/>
      <w:r w:rsidRPr="00B80566">
        <w:rPr>
          <w:rFonts w:asciiTheme="minorHAnsi" w:hAnsiTheme="minorHAnsi" w:cs="Calibri"/>
          <w:i/>
          <w:sz w:val="22"/>
          <w:szCs w:val="22"/>
          <w:lang w:val="en-US"/>
        </w:rPr>
        <w:t>Génération</w:t>
      </w:r>
      <w:proofErr w:type="spellEnd"/>
    </w:p>
    <w:p w:rsidR="0064053C" w:rsidRPr="00B80566" w:rsidRDefault="0064053C">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rPr>
          <w:rFonts w:asciiTheme="minorHAnsi" w:hAnsiTheme="minorHAnsi" w:cs="Calibri"/>
          <w:sz w:val="22"/>
          <w:szCs w:val="22"/>
          <w:lang w:val="en-US"/>
        </w:rPr>
      </w:pPr>
    </w:p>
    <w:p w:rsidR="0064053C" w:rsidRPr="00B80566" w:rsidRDefault="0064053C">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rPr>
          <w:rFonts w:asciiTheme="minorHAnsi" w:hAnsiTheme="minorHAnsi" w:cs="Calibri"/>
          <w:sz w:val="22"/>
          <w:szCs w:val="22"/>
          <w:lang w:val="en-US"/>
        </w:rPr>
      </w:pPr>
    </w:p>
    <w:p w:rsidR="0064053C" w:rsidRPr="00B80566" w:rsidRDefault="0064053C">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rPr>
          <w:rFonts w:asciiTheme="minorHAnsi" w:hAnsiTheme="minorHAnsi" w:cs="Calibri"/>
          <w:sz w:val="22"/>
          <w:szCs w:val="22"/>
          <w:lang w:val="en-US"/>
        </w:rPr>
      </w:pPr>
      <w:r w:rsidRPr="00B80566">
        <w:rPr>
          <w:rFonts w:asciiTheme="minorHAnsi" w:hAnsiTheme="minorHAnsi" w:cs="Calibri"/>
          <w:b/>
          <w:bCs/>
          <w:i/>
          <w:iCs/>
          <w:sz w:val="22"/>
          <w:szCs w:val="22"/>
          <w:lang w:val="en-US"/>
        </w:rPr>
        <w:t>Abstract</w:t>
      </w:r>
      <w:r w:rsidRPr="00B80566">
        <w:rPr>
          <w:rFonts w:asciiTheme="minorHAnsi" w:hAnsiTheme="minorHAnsi" w:cs="Calibri"/>
          <w:sz w:val="22"/>
          <w:szCs w:val="22"/>
          <w:lang w:val="en-US"/>
        </w:rPr>
        <w:t>:</w:t>
      </w:r>
    </w:p>
    <w:p w:rsidR="0064053C" w:rsidRPr="00B80566"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r w:rsidRPr="00B80566">
        <w:rPr>
          <w:rFonts w:asciiTheme="minorHAnsi" w:hAnsiTheme="minorHAnsi" w:cs="Calibri"/>
          <w:sz w:val="22"/>
          <w:szCs w:val="22"/>
          <w:lang w:val="en-US"/>
        </w:rPr>
        <w:t xml:space="preserve">The opening of public data, the release of the source codes developed by public administrations, and the “co-construction” of public policies imply that public authorities should adopt a new stance. Once the decision is made for “open” arrangements of this sort, which are intended to raise the confidence of citizens in public affairs, bringing communities of actors (civil servants, entrepreneurs, </w:t>
      </w:r>
      <w:proofErr w:type="gramStart"/>
      <w:r w:rsidRPr="00B80566">
        <w:rPr>
          <w:rFonts w:asciiTheme="minorHAnsi" w:hAnsiTheme="minorHAnsi" w:cs="Calibri"/>
          <w:sz w:val="22"/>
          <w:szCs w:val="22"/>
          <w:lang w:val="en-US"/>
        </w:rPr>
        <w:t>researchers</w:t>
      </w:r>
      <w:proofErr w:type="gramEnd"/>
      <w:r w:rsidRPr="00B80566">
        <w:rPr>
          <w:rFonts w:asciiTheme="minorHAnsi" w:hAnsiTheme="minorHAnsi" w:cs="Calibri"/>
          <w:sz w:val="22"/>
          <w:szCs w:val="22"/>
          <w:lang w:val="en-US"/>
        </w:rPr>
        <w:t>, NGOs) to be involved will, for sure, have an impact on public policy-making. This “creative multitude” within the state is a vector of technological and organizational innovation that will focus attention on new possibilities for public actions and interventions. This “community-based” approach is illustrated by discussing several high tech projects that are “public and open”; it sheds light on future prospects related to digital technology.</w:t>
      </w:r>
    </w:p>
    <w:p w:rsidR="0064053C"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p>
    <w:p w:rsidR="00B80566" w:rsidRDefault="00B80566"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p>
    <w:p w:rsidR="00B80566" w:rsidRPr="00B80566" w:rsidRDefault="00B80566"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p>
    <w:p w:rsidR="0064053C" w:rsidRPr="00B80566"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r w:rsidRPr="00B80566">
        <w:rPr>
          <w:rFonts w:asciiTheme="minorHAnsi" w:hAnsiTheme="minorHAnsi" w:cs="Calibri"/>
          <w:sz w:val="22"/>
          <w:szCs w:val="22"/>
          <w:lang w:val="en-US"/>
        </w:rPr>
        <w:tab/>
      </w:r>
      <w:proofErr w:type="gramStart"/>
      <w:r w:rsidRPr="00B80566">
        <w:rPr>
          <w:rFonts w:asciiTheme="minorHAnsi" w:hAnsiTheme="minorHAnsi" w:cs="Calibri"/>
          <w:sz w:val="22"/>
          <w:szCs w:val="22"/>
          <w:lang w:val="en-US"/>
        </w:rPr>
        <w:t>“</w:t>
      </w:r>
      <w:r w:rsidRPr="00B80566">
        <w:rPr>
          <w:rFonts w:asciiTheme="minorHAnsi" w:hAnsiTheme="minorHAnsi" w:cs="Calibri"/>
          <w:i/>
          <w:iCs/>
          <w:sz w:val="22"/>
          <w:szCs w:val="22"/>
          <w:lang w:val="en-US"/>
        </w:rPr>
        <w:t>Public Money?</w:t>
      </w:r>
      <w:proofErr w:type="gramEnd"/>
      <w:r w:rsidRPr="00B80566">
        <w:rPr>
          <w:rFonts w:asciiTheme="minorHAnsi" w:hAnsiTheme="minorHAnsi" w:cs="Calibri"/>
          <w:i/>
          <w:iCs/>
          <w:sz w:val="22"/>
          <w:szCs w:val="22"/>
          <w:lang w:val="en-US"/>
        </w:rPr>
        <w:t xml:space="preserve"> </w:t>
      </w:r>
      <w:proofErr w:type="gramStart"/>
      <w:r w:rsidRPr="00B80566">
        <w:rPr>
          <w:rFonts w:asciiTheme="minorHAnsi" w:hAnsiTheme="minorHAnsi" w:cs="Calibri"/>
          <w:i/>
          <w:iCs/>
          <w:sz w:val="22"/>
          <w:szCs w:val="22"/>
          <w:lang w:val="en-US"/>
        </w:rPr>
        <w:t>Public Code!</w:t>
      </w:r>
      <w:r w:rsidRPr="00B80566">
        <w:rPr>
          <w:rFonts w:asciiTheme="minorHAnsi" w:hAnsiTheme="minorHAnsi" w:cs="Calibri"/>
          <w:sz w:val="22"/>
          <w:szCs w:val="22"/>
          <w:lang w:val="en-US"/>
        </w:rPr>
        <w:t>”</w:t>
      </w:r>
      <w:proofErr w:type="gramEnd"/>
      <w:r w:rsidRPr="00B80566">
        <w:rPr>
          <w:rFonts w:asciiTheme="minorHAnsi" w:hAnsiTheme="minorHAnsi" w:cs="Calibri"/>
          <w:sz w:val="24"/>
          <w:szCs w:val="24"/>
          <w:vertAlign w:val="superscript"/>
          <w:lang w:val="en-US"/>
        </w:rPr>
        <w:footnoteReference w:customMarkFollows="1" w:id="1"/>
        <w:t>1</w:t>
      </w:r>
      <w:r w:rsidRPr="00B80566">
        <w:rPr>
          <w:rFonts w:asciiTheme="minorHAnsi" w:hAnsiTheme="minorHAnsi" w:cs="Calibri"/>
          <w:sz w:val="22"/>
          <w:szCs w:val="22"/>
          <w:lang w:val="en-US"/>
        </w:rPr>
        <w:t xml:space="preserve"> In September 2017, a group of NGOs, led by Free Software Foundation Europe, launched a multilingual campaign calling on European representatives and public decision-makers to adopt legal texts “</w:t>
      </w:r>
      <w:r w:rsidRPr="00B80566">
        <w:rPr>
          <w:rFonts w:asciiTheme="minorHAnsi" w:hAnsiTheme="minorHAnsi" w:cs="Calibri"/>
          <w:i/>
          <w:iCs/>
          <w:sz w:val="22"/>
          <w:szCs w:val="22"/>
          <w:lang w:val="en-US"/>
        </w:rPr>
        <w:t>requiring that publicly financed software developed for the public sector must be made publicly available under a Free and Open Source Software licence</w:t>
      </w:r>
      <w:r w:rsidRPr="00B80566">
        <w:rPr>
          <w:rFonts w:asciiTheme="minorHAnsi" w:hAnsiTheme="minorHAnsi" w:cs="Calibri"/>
          <w:sz w:val="22"/>
          <w:szCs w:val="22"/>
          <w:lang w:val="en-US"/>
        </w:rPr>
        <w:t>”.</w:t>
      </w:r>
      <w:r w:rsidRPr="00B80566">
        <w:rPr>
          <w:rFonts w:asciiTheme="minorHAnsi" w:hAnsiTheme="minorHAnsi" w:cs="Calibri"/>
          <w:sz w:val="24"/>
          <w:szCs w:val="24"/>
          <w:vertAlign w:val="superscript"/>
          <w:lang w:val="en-US"/>
        </w:rPr>
        <w:footnoteReference w:customMarkFollows="1" w:id="2"/>
        <w:t>2</w:t>
      </w:r>
      <w:r w:rsidRPr="00B80566">
        <w:rPr>
          <w:rFonts w:asciiTheme="minorHAnsi" w:hAnsiTheme="minorHAnsi" w:cs="Calibri"/>
          <w:sz w:val="22"/>
          <w:szCs w:val="22"/>
          <w:lang w:val="en-US"/>
        </w:rPr>
        <w:t xml:space="preserve"> Since then, nearly 30,000 people and more than 200 organizations (public, private, nonprofit) have signed this call. The underlying philosophy has had a strong echo in several movements, whether those steered by NGOs or public authorities, often with the same principal motivation: the transparency (technical or untechnical) of public actions is a warranty of democratic confidence and fundamental rights.</w:t>
      </w:r>
    </w:p>
    <w:p w:rsidR="0064053C" w:rsidRPr="00B80566"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r w:rsidRPr="00B80566">
        <w:rPr>
          <w:rFonts w:asciiTheme="minorHAnsi" w:hAnsiTheme="minorHAnsi" w:cs="Calibri"/>
          <w:sz w:val="22"/>
          <w:szCs w:val="22"/>
          <w:lang w:val="en-US"/>
        </w:rPr>
        <w:tab/>
        <w:t>When the first steps were made toward “open data” in France, Article §15 of the Declaration of the Rights of Man and of the Citizen of 1789 — “</w:t>
      </w:r>
      <w:r w:rsidRPr="00B80566">
        <w:rPr>
          <w:rFonts w:asciiTheme="minorHAnsi" w:hAnsiTheme="minorHAnsi" w:cs="Calibri"/>
          <w:i/>
          <w:iCs/>
          <w:sz w:val="22"/>
          <w:szCs w:val="22"/>
          <w:lang w:val="en-US"/>
        </w:rPr>
        <w:t>Society has the right to hold accountable every public agent of the administration</w:t>
      </w:r>
      <w:r w:rsidRPr="00B80566">
        <w:rPr>
          <w:rFonts w:asciiTheme="minorHAnsi" w:hAnsiTheme="minorHAnsi" w:cs="Calibri"/>
          <w:sz w:val="22"/>
          <w:szCs w:val="22"/>
          <w:lang w:val="en-US"/>
        </w:rPr>
        <w:t>”</w:t>
      </w:r>
      <w:r w:rsidRPr="00B80566">
        <w:rPr>
          <w:rFonts w:asciiTheme="minorHAnsi" w:hAnsiTheme="minorHAnsi" w:cs="Calibri"/>
          <w:sz w:val="24"/>
          <w:szCs w:val="24"/>
          <w:vertAlign w:val="superscript"/>
          <w:lang w:val="en-US"/>
        </w:rPr>
        <w:footnoteReference w:customMarkFollows="1" w:id="3"/>
        <w:t>3</w:t>
      </w:r>
      <w:r w:rsidRPr="00B80566">
        <w:rPr>
          <w:rFonts w:asciiTheme="minorHAnsi" w:hAnsiTheme="minorHAnsi" w:cs="Calibri"/>
          <w:sz w:val="22"/>
          <w:szCs w:val="22"/>
          <w:lang w:val="en-US"/>
        </w:rPr>
        <w:t> — served as the grounds, to both associations and public administrations, for updating the law. The Act for a Digital Republic was passed in 2016 and, in 1978, an act on the right to information, which broadened provisions about the access to administrative documents.</w:t>
      </w:r>
      <w:r w:rsidRPr="00B80566">
        <w:rPr>
          <w:rFonts w:asciiTheme="minorHAnsi" w:hAnsiTheme="minorHAnsi" w:cs="Calibri"/>
          <w:sz w:val="24"/>
          <w:szCs w:val="24"/>
          <w:vertAlign w:val="superscript"/>
          <w:lang w:val="en-US"/>
        </w:rPr>
        <w:footnoteReference w:customMarkFollows="1" w:id="4"/>
        <w:t>4</w:t>
      </w:r>
      <w:r w:rsidRPr="00B80566">
        <w:rPr>
          <w:rFonts w:asciiTheme="minorHAnsi" w:hAnsiTheme="minorHAnsi" w:cs="Calibri"/>
          <w:sz w:val="22"/>
          <w:szCs w:val="22"/>
          <w:lang w:val="en-US"/>
        </w:rPr>
        <w:t xml:space="preserve"> </w:t>
      </w:r>
      <w:proofErr w:type="gramStart"/>
      <w:r w:rsidRPr="00B80566">
        <w:rPr>
          <w:rFonts w:asciiTheme="minorHAnsi" w:hAnsiTheme="minorHAnsi" w:cs="Calibri"/>
          <w:sz w:val="22"/>
          <w:szCs w:val="22"/>
          <w:lang w:val="en-US"/>
        </w:rPr>
        <w:t>Since</w:t>
      </w:r>
      <w:proofErr w:type="gramEnd"/>
      <w:r w:rsidRPr="00B80566">
        <w:rPr>
          <w:rFonts w:asciiTheme="minorHAnsi" w:hAnsiTheme="minorHAnsi" w:cs="Calibri"/>
          <w:sz w:val="22"/>
          <w:szCs w:val="22"/>
          <w:lang w:val="en-US"/>
        </w:rPr>
        <w:t xml:space="preserve"> 2014, the participation of France in the Open Government Partnership (OGP) has stimulated actions for bringing the administration closer to third-party organizations (NGOs, research, etc.). This multilateral “open </w:t>
      </w:r>
      <w:proofErr w:type="spellStart"/>
      <w:r w:rsidRPr="00B80566">
        <w:rPr>
          <w:rFonts w:asciiTheme="minorHAnsi" w:hAnsiTheme="minorHAnsi" w:cs="Calibri"/>
          <w:sz w:val="22"/>
          <w:szCs w:val="22"/>
          <w:lang w:val="en-US"/>
        </w:rPr>
        <w:t>gov</w:t>
      </w:r>
      <w:proofErr w:type="spellEnd"/>
      <w:r w:rsidRPr="00B80566">
        <w:rPr>
          <w:rFonts w:asciiTheme="minorHAnsi" w:hAnsiTheme="minorHAnsi" w:cs="Calibri"/>
          <w:sz w:val="22"/>
          <w:szCs w:val="22"/>
          <w:lang w:val="en-US"/>
        </w:rPr>
        <w:t>” initiative launched in 2011 by eight countries advocates open government, the values of public transparency and openness, and new forms of dialog and cooperation with civil society. The OGP sees digital technology as having a role in supporting these values.</w:t>
      </w:r>
    </w:p>
    <w:p w:rsidR="0064053C" w:rsidRPr="00B80566"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r w:rsidRPr="00B80566">
        <w:rPr>
          <w:rFonts w:asciiTheme="minorHAnsi" w:hAnsiTheme="minorHAnsi" w:cs="Calibri"/>
          <w:sz w:val="22"/>
          <w:szCs w:val="22"/>
          <w:lang w:val="en-US"/>
        </w:rPr>
        <w:lastRenderedPageBreak/>
        <w:tab/>
        <w:t>Open public data, the availability of the source code developed by public administrations and the co-construction of public policies imply that public authorities shift positions. When setting up arrangements for this openness, which is intended to improve citizens’ confidence in public authorities, bringing together a community of plural actors (public agents, entrepreneurs, researchers, representatives of civil society) will have an impact on public policies. The contribution of the “</w:t>
      </w:r>
      <w:r w:rsidRPr="00B80566">
        <w:rPr>
          <w:rFonts w:asciiTheme="minorHAnsi" w:hAnsiTheme="minorHAnsi" w:cs="Calibri"/>
          <w:i/>
          <w:iCs/>
          <w:sz w:val="22"/>
          <w:szCs w:val="22"/>
          <w:lang w:val="en-US"/>
        </w:rPr>
        <w:t>multitude’s creative power</w:t>
      </w:r>
      <w:r w:rsidRPr="00B80566">
        <w:rPr>
          <w:rFonts w:asciiTheme="minorHAnsi" w:hAnsiTheme="minorHAnsi" w:cs="Calibri"/>
          <w:sz w:val="22"/>
          <w:szCs w:val="22"/>
          <w:lang w:val="en-US"/>
        </w:rPr>
        <w:t>”</w:t>
      </w:r>
      <w:r w:rsidRPr="00B80566">
        <w:rPr>
          <w:rFonts w:asciiTheme="minorHAnsi" w:hAnsiTheme="minorHAnsi" w:cs="Calibri"/>
          <w:sz w:val="24"/>
          <w:szCs w:val="24"/>
          <w:vertAlign w:val="superscript"/>
          <w:lang w:val="en-US"/>
        </w:rPr>
        <w:footnoteReference w:customMarkFollows="1" w:id="5"/>
        <w:t>5</w:t>
      </w:r>
      <w:r w:rsidRPr="00B80566">
        <w:rPr>
          <w:rFonts w:asciiTheme="minorHAnsi" w:hAnsiTheme="minorHAnsi" w:cs="Calibri"/>
          <w:sz w:val="22"/>
          <w:szCs w:val="22"/>
          <w:lang w:val="en-US"/>
        </w:rPr>
        <w:t xml:space="preserve"> to the state is a vector of technological and organizational innovation. This power opens new fields of thought about models of public action.</w:t>
      </w:r>
    </w:p>
    <w:p w:rsidR="0064053C" w:rsidRPr="00B80566"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r w:rsidRPr="00B80566">
        <w:rPr>
          <w:rFonts w:asciiTheme="minorHAnsi" w:hAnsiTheme="minorHAnsi" w:cs="Calibri"/>
          <w:sz w:val="22"/>
          <w:szCs w:val="22"/>
          <w:lang w:val="en-US"/>
        </w:rPr>
        <w:tab/>
        <w:t>The rest of this article will shed light on this approach “by communities” in several open, public projects related to digital technology.</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33"/>
          <w:szCs w:val="33"/>
          <w:u w:val="none"/>
          <w:lang w:val="en-US"/>
        </w:rPr>
      </w:pPr>
      <w:bookmarkStart w:id="0" w:name="_1__1_"/>
      <w:bookmarkEnd w:id="0"/>
      <w:r w:rsidRPr="00B80566">
        <w:rPr>
          <w:rFonts w:asciiTheme="minorHAnsi" w:hAnsiTheme="minorHAnsi" w:cs="Calibri"/>
          <w:sz w:val="33"/>
          <w:szCs w:val="33"/>
          <w:lang w:val="en-US"/>
        </w:rPr>
        <w:t>The open-data and open-source communities in favor of public actions during the COVID-19 health crisis</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u w:val="none"/>
          <w:vertAlign w:val="superscript"/>
          <w:lang w:val="en-US"/>
        </w:rPr>
      </w:pPr>
      <w:r w:rsidRPr="00B80566">
        <w:rPr>
          <w:rFonts w:asciiTheme="minorHAnsi" w:hAnsiTheme="minorHAnsi" w:cs="Calibri"/>
          <w:b w:val="0"/>
          <w:bCs w:val="0"/>
          <w:sz w:val="22"/>
          <w:szCs w:val="22"/>
          <w:u w:val="none"/>
          <w:lang w:val="en-US"/>
        </w:rPr>
        <w:tab/>
        <w:t xml:space="preserve">During the first weeks of the COVID-19 pandemic, official sources that monitored trends in the number of hospitalizations or deaths were hard to access; and their data were hard to visualize for the public. OpenCovid19, a civil society initiative, made the first consolidated data sets, a brick then used by </w:t>
      </w:r>
      <w:proofErr w:type="spellStart"/>
      <w:r w:rsidRPr="00B80566">
        <w:rPr>
          <w:rFonts w:asciiTheme="minorHAnsi" w:hAnsiTheme="minorHAnsi" w:cs="Calibri"/>
          <w:b w:val="0"/>
          <w:bCs w:val="0"/>
          <w:sz w:val="22"/>
          <w:szCs w:val="22"/>
          <w:u w:val="none"/>
          <w:lang w:val="en-US"/>
        </w:rPr>
        <w:t>Etalab</w:t>
      </w:r>
      <w:proofErr w:type="spellEnd"/>
      <w:r w:rsidRPr="00B80566">
        <w:rPr>
          <w:rFonts w:asciiTheme="minorHAnsi" w:hAnsiTheme="minorHAnsi" w:cs="Calibri"/>
          <w:b w:val="0"/>
          <w:bCs w:val="0"/>
          <w:sz w:val="22"/>
          <w:szCs w:val="22"/>
          <w:u w:val="none"/>
          <w:lang w:val="en-US"/>
        </w:rPr>
        <w:t xml:space="preserve">, the government’s information service (SIG) and Santé </w:t>
      </w:r>
      <w:proofErr w:type="spellStart"/>
      <w:r w:rsidRPr="00B80566">
        <w:rPr>
          <w:rFonts w:asciiTheme="minorHAnsi" w:hAnsiTheme="minorHAnsi" w:cs="Calibri"/>
          <w:b w:val="0"/>
          <w:bCs w:val="0"/>
          <w:sz w:val="22"/>
          <w:szCs w:val="22"/>
          <w:u w:val="none"/>
          <w:lang w:val="en-US"/>
        </w:rPr>
        <w:t>Publique</w:t>
      </w:r>
      <w:proofErr w:type="spellEnd"/>
      <w:r w:rsidRPr="00B80566">
        <w:rPr>
          <w:rFonts w:asciiTheme="minorHAnsi" w:hAnsiTheme="minorHAnsi" w:cs="Calibri"/>
          <w:b w:val="0"/>
          <w:bCs w:val="0"/>
          <w:sz w:val="22"/>
          <w:szCs w:val="22"/>
          <w:u w:val="none"/>
          <w:lang w:val="en-US"/>
        </w:rPr>
        <w:t xml:space="preserve"> France to design an official dashboard for visualizing all data on the epidemic. Throughout France, several “maker” communities pledged to make material (open-source respirators, visors from 3D-printers, etc.) for people “on the front line” of the epidemic.</w:t>
      </w:r>
      <w:r w:rsidRPr="00B80566">
        <w:rPr>
          <w:rFonts w:asciiTheme="minorHAnsi" w:hAnsiTheme="minorHAnsi" w:cs="Calibri"/>
          <w:b w:val="0"/>
          <w:bCs w:val="0"/>
          <w:u w:val="none"/>
          <w:vertAlign w:val="superscript"/>
          <w:lang w:val="en-US"/>
        </w:rPr>
        <w:footnoteReference w:customMarkFollows="1" w:id="6"/>
        <w:t>6</w:t>
      </w:r>
    </w:p>
    <w:p w:rsidR="00B80566" w:rsidRPr="00B80566" w:rsidRDefault="00B80566"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Calibri" w:hAnsi="Calibri" w:cs="Calibri"/>
          <w:b w:val="0"/>
          <w:bCs w:val="0"/>
          <w:sz w:val="22"/>
          <w:szCs w:val="22"/>
          <w:u w:val="none"/>
        </w:rPr>
      </w:pPr>
    </w:p>
    <w:p w:rsidR="00B80566" w:rsidRPr="00B80566" w:rsidRDefault="00BD199A" w:rsidP="00253F2D">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center"/>
        <w:rPr>
          <w:rFonts w:ascii="Calibri" w:hAnsi="Calibri" w:cs="Calibri"/>
          <w:sz w:val="22"/>
          <w:szCs w:val="22"/>
          <w:lang w:val="en-US"/>
        </w:rPr>
      </w:pPr>
      <w:r w:rsidRPr="00B8759A">
        <w:rPr>
          <w:bCs/>
          <w:noProof/>
        </w:rPr>
        <w:drawing>
          <wp:inline distT="0" distB="0" distL="0" distR="0" wp14:anchorId="5A6BAB3D" wp14:editId="6F953439">
            <wp:extent cx="5727701" cy="3165344"/>
            <wp:effectExtent l="0" t="0" r="0" b="0"/>
            <wp:docPr id="1073741825" name="officeArt object"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073741825" name="Une image contenant texte&#10;&#10;Description générée automatiquement" descr="Une image contenant texteDescription générée automatiquement"/>
                    <pic:cNvPicPr>
                      <a:picLocks noChangeAspect="1"/>
                    </pic:cNvPicPr>
                  </pic:nvPicPr>
                  <pic:blipFill>
                    <a:blip r:embed="rId8"/>
                    <a:srcRect b="3149"/>
                    <a:stretch>
                      <a:fillRect/>
                    </a:stretch>
                  </pic:blipFill>
                  <pic:spPr>
                    <a:xfrm>
                      <a:off x="0" y="0"/>
                      <a:ext cx="5727701" cy="3165344"/>
                    </a:xfrm>
                    <a:prstGeom prst="rect">
                      <a:avLst/>
                    </a:prstGeom>
                    <a:ln w="12700" cap="flat">
                      <a:noFill/>
                      <a:miter lim="400000"/>
                    </a:ln>
                    <a:effectLst/>
                  </pic:spPr>
                </pic:pic>
              </a:graphicData>
            </a:graphic>
          </wp:inline>
        </w:drawing>
      </w:r>
      <w:bookmarkStart w:id="1" w:name="_GoBack"/>
      <w:bookmarkEnd w:id="1"/>
    </w:p>
    <w:p w:rsidR="00B80566" w:rsidRPr="00B80566" w:rsidRDefault="00B80566"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Calibri" w:hAnsi="Calibri" w:cs="Calibri"/>
          <w:b w:val="0"/>
          <w:bCs w:val="0"/>
          <w:sz w:val="22"/>
          <w:szCs w:val="22"/>
          <w:u w:val="none"/>
          <w:lang w:val="en-US"/>
        </w:rPr>
      </w:pPr>
    </w:p>
    <w:p w:rsidR="00B80566" w:rsidRPr="00253F2D" w:rsidRDefault="00B80566" w:rsidP="00253F2D">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center"/>
        <w:rPr>
          <w:rFonts w:ascii="Calibri" w:hAnsi="Calibri" w:cs="Calibri"/>
          <w:b w:val="0"/>
          <w:bCs w:val="0"/>
          <w:sz w:val="16"/>
          <w:szCs w:val="16"/>
          <w:u w:val="none"/>
          <w:lang w:val="en-US"/>
        </w:rPr>
      </w:pPr>
      <w:r w:rsidRPr="00253F2D">
        <w:rPr>
          <w:rFonts w:ascii="Calibri" w:hAnsi="Calibri" w:cs="Calibri"/>
          <w:sz w:val="16"/>
          <w:szCs w:val="16"/>
          <w:u w:val="none"/>
          <w:lang w:val="en-US"/>
        </w:rPr>
        <w:t>Figure 1</w:t>
      </w:r>
      <w:r w:rsidRPr="00253F2D">
        <w:rPr>
          <w:rFonts w:ascii="Calibri" w:hAnsi="Calibri" w:cs="Calibri"/>
          <w:b w:val="0"/>
          <w:bCs w:val="0"/>
          <w:sz w:val="16"/>
          <w:szCs w:val="16"/>
          <w:u w:val="none"/>
          <w:lang w:val="en-US"/>
        </w:rPr>
        <w:t>: Screen shot of 11 December 2020 of the public data platform about the epidemic in France</w:t>
      </w:r>
    </w:p>
    <w:p w:rsidR="00253F2D" w:rsidRPr="00253F2D" w:rsidRDefault="00B80566" w:rsidP="00253F2D">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center"/>
        <w:rPr>
          <w:rFonts w:ascii="Calibri" w:hAnsi="Calibri" w:cs="Calibri"/>
          <w:b w:val="0"/>
          <w:bCs w:val="0"/>
          <w:sz w:val="16"/>
          <w:szCs w:val="16"/>
          <w:u w:val="none"/>
        </w:rPr>
      </w:pPr>
      <w:r w:rsidRPr="00253F2D">
        <w:rPr>
          <w:rFonts w:ascii="Calibri" w:hAnsi="Calibri" w:cs="Calibri"/>
          <w:b w:val="0"/>
          <w:bCs w:val="0"/>
          <w:i/>
          <w:iCs/>
          <w:sz w:val="16"/>
          <w:szCs w:val="16"/>
          <w:u w:val="none"/>
        </w:rPr>
        <w:t>Source</w:t>
      </w:r>
      <w:r w:rsidRPr="00253F2D">
        <w:rPr>
          <w:rFonts w:ascii="Calibri" w:hAnsi="Calibri" w:cs="Calibri"/>
          <w:b w:val="0"/>
          <w:bCs w:val="0"/>
          <w:sz w:val="16"/>
          <w:szCs w:val="16"/>
          <w:u w:val="none"/>
        </w:rPr>
        <w:t xml:space="preserve">: </w:t>
      </w:r>
      <w:hyperlink r:id="rId9" w:history="1">
        <w:r w:rsidR="00253F2D" w:rsidRPr="00253F2D">
          <w:rPr>
            <w:rStyle w:val="Lienhypertexte"/>
            <w:rFonts w:ascii="Calibri" w:hAnsi="Calibri" w:cs="Calibri"/>
            <w:b w:val="0"/>
            <w:bCs w:val="0"/>
            <w:sz w:val="16"/>
            <w:szCs w:val="16"/>
          </w:rPr>
          <w:t>https://dashboard.covid19.data.gouv.fr/</w:t>
        </w:r>
      </w:hyperlink>
    </w:p>
    <w:p w:rsidR="00B80566" w:rsidRPr="00B80566" w:rsidRDefault="00B80566"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Calibri" w:hAnsi="Calibri" w:cs="Calibri"/>
          <w:sz w:val="22"/>
          <w:szCs w:val="22"/>
          <w:lang w:val="en-US"/>
        </w:rPr>
      </w:pPr>
    </w:p>
    <w:p w:rsidR="0064053C" w:rsidRPr="00B80566" w:rsidRDefault="00B80566"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sz w:val="22"/>
          <w:szCs w:val="22"/>
          <w:u w:val="none"/>
          <w:lang w:val="en-US"/>
        </w:rPr>
      </w:pPr>
      <w:r>
        <w:rPr>
          <w:rFonts w:asciiTheme="minorHAnsi" w:hAnsiTheme="minorHAnsi" w:cs="Calibri"/>
          <w:b w:val="0"/>
          <w:bCs w:val="0"/>
          <w:sz w:val="22"/>
          <w:szCs w:val="22"/>
          <w:u w:val="none"/>
          <w:lang w:val="en-US"/>
        </w:rPr>
        <w:br w:type="page"/>
      </w:r>
      <w:r w:rsidR="0064053C" w:rsidRPr="00B80566">
        <w:rPr>
          <w:rFonts w:asciiTheme="minorHAnsi" w:hAnsiTheme="minorHAnsi" w:cs="Calibri"/>
          <w:b w:val="0"/>
          <w:sz w:val="22"/>
          <w:szCs w:val="22"/>
          <w:u w:val="none"/>
          <w:lang w:val="en-US"/>
        </w:rPr>
        <w:lastRenderedPageBreak/>
        <w:tab/>
        <w:t>These trends illustrated how input from civil society shapes public digital strategies. This role might be institutionalized, as in the BAN project, a partnership that sought to make and maintain a national address database.</w:t>
      </w:r>
      <w:r w:rsidR="0064053C" w:rsidRPr="00B80566">
        <w:rPr>
          <w:rFonts w:asciiTheme="minorHAnsi" w:hAnsiTheme="minorHAnsi" w:cs="Calibri"/>
          <w:b w:val="0"/>
          <w:u w:val="none"/>
          <w:vertAlign w:val="superscript"/>
          <w:lang w:val="en-US"/>
        </w:rPr>
        <w:footnoteReference w:customMarkFollows="1" w:id="7"/>
        <w:t>7</w:t>
      </w:r>
      <w:r w:rsidR="0064053C" w:rsidRPr="00B80566">
        <w:rPr>
          <w:rFonts w:asciiTheme="minorHAnsi" w:hAnsiTheme="minorHAnsi" w:cs="Calibri"/>
          <w:b w:val="0"/>
          <w:sz w:val="22"/>
          <w:szCs w:val="22"/>
          <w:u w:val="none"/>
          <w:lang w:val="en-US"/>
        </w:rPr>
        <w:t xml:space="preserve"> </w:t>
      </w:r>
      <w:proofErr w:type="gramStart"/>
      <w:r w:rsidR="0064053C" w:rsidRPr="00B80566">
        <w:rPr>
          <w:rFonts w:asciiTheme="minorHAnsi" w:hAnsiTheme="minorHAnsi" w:cs="Calibri"/>
          <w:b w:val="0"/>
          <w:sz w:val="22"/>
          <w:szCs w:val="22"/>
          <w:u w:val="none"/>
          <w:lang w:val="en-US"/>
        </w:rPr>
        <w:t>Without</w:t>
      </w:r>
      <w:proofErr w:type="gramEnd"/>
      <w:r w:rsidR="0064053C" w:rsidRPr="00B80566">
        <w:rPr>
          <w:rFonts w:asciiTheme="minorHAnsi" w:hAnsiTheme="minorHAnsi" w:cs="Calibri"/>
          <w:b w:val="0"/>
          <w:sz w:val="22"/>
          <w:szCs w:val="22"/>
          <w:u w:val="none"/>
          <w:lang w:val="en-US"/>
        </w:rPr>
        <w:t xml:space="preserve"> always being formalized, groups shared knowledge, and exchanged methods and job offers related to open data. The #</w:t>
      </w:r>
      <w:proofErr w:type="spellStart"/>
      <w:r w:rsidR="0064053C" w:rsidRPr="00B80566">
        <w:rPr>
          <w:rFonts w:asciiTheme="minorHAnsi" w:hAnsiTheme="minorHAnsi" w:cs="Calibri"/>
          <w:b w:val="0"/>
          <w:sz w:val="22"/>
          <w:szCs w:val="22"/>
          <w:u w:val="none"/>
          <w:lang w:val="en-US"/>
        </w:rPr>
        <w:t>teamopendata</w:t>
      </w:r>
      <w:proofErr w:type="spellEnd"/>
      <w:r w:rsidR="0064053C" w:rsidRPr="00B80566">
        <w:rPr>
          <w:rFonts w:asciiTheme="minorHAnsi" w:hAnsiTheme="minorHAnsi" w:cs="Calibri"/>
          <w:b w:val="0"/>
          <w:sz w:val="22"/>
          <w:szCs w:val="22"/>
          <w:u w:val="none"/>
          <w:lang w:val="en-US"/>
        </w:rPr>
        <w:t xml:space="preserve"> community assembled public agents in charge of opening public data, service-providers, activists, researchers and citizens. Another community (Blue Hats – Hackers </w:t>
      </w:r>
      <w:proofErr w:type="spellStart"/>
      <w:r w:rsidR="0064053C" w:rsidRPr="00B80566">
        <w:rPr>
          <w:rFonts w:asciiTheme="minorHAnsi" w:hAnsiTheme="minorHAnsi" w:cs="Calibri"/>
          <w:b w:val="0"/>
          <w:sz w:val="22"/>
          <w:szCs w:val="22"/>
          <w:u w:val="none"/>
          <w:lang w:val="en-US"/>
        </w:rPr>
        <w:t>d’Intérêt</w:t>
      </w:r>
      <w:proofErr w:type="spellEnd"/>
      <w:r w:rsidR="0064053C" w:rsidRPr="00B80566">
        <w:rPr>
          <w:rFonts w:asciiTheme="minorHAnsi" w:hAnsiTheme="minorHAnsi" w:cs="Calibri"/>
          <w:b w:val="0"/>
          <w:sz w:val="22"/>
          <w:szCs w:val="22"/>
          <w:u w:val="none"/>
          <w:lang w:val="en-US"/>
        </w:rPr>
        <w:t xml:space="preserve"> </w:t>
      </w:r>
      <w:proofErr w:type="spellStart"/>
      <w:r w:rsidR="0064053C" w:rsidRPr="00B80566">
        <w:rPr>
          <w:rFonts w:asciiTheme="minorHAnsi" w:hAnsiTheme="minorHAnsi" w:cs="Calibri"/>
          <w:b w:val="0"/>
          <w:sz w:val="22"/>
          <w:szCs w:val="22"/>
          <w:u w:val="none"/>
          <w:lang w:val="en-US"/>
        </w:rPr>
        <w:t>Général</w:t>
      </w:r>
      <w:proofErr w:type="spellEnd"/>
      <w:r w:rsidR="0064053C" w:rsidRPr="00B80566">
        <w:rPr>
          <w:rFonts w:asciiTheme="minorHAnsi" w:hAnsiTheme="minorHAnsi" w:cs="Calibri"/>
          <w:b w:val="0"/>
          <w:sz w:val="22"/>
          <w:szCs w:val="22"/>
          <w:u w:val="none"/>
          <w:lang w:val="en-US"/>
        </w:rPr>
        <w:t>) encouraged the public administration to use freeware and contribute to its development.</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33"/>
          <w:szCs w:val="33"/>
          <w:u w:val="none"/>
          <w:lang w:val="en-US"/>
        </w:rPr>
      </w:pPr>
      <w:bookmarkStart w:id="2" w:name="_1__2_"/>
      <w:bookmarkEnd w:id="2"/>
      <w:r w:rsidRPr="00B80566">
        <w:rPr>
          <w:rFonts w:asciiTheme="minorHAnsi" w:hAnsiTheme="minorHAnsi" w:cs="Calibri"/>
          <w:sz w:val="33"/>
          <w:szCs w:val="33"/>
          <w:lang w:val="en-US"/>
        </w:rPr>
        <w:t>EIG, a program for creating and galvanizing a community of innovators</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r w:rsidRPr="00B80566">
        <w:rPr>
          <w:rFonts w:asciiTheme="minorHAnsi" w:hAnsiTheme="minorHAnsi" w:cs="Calibri"/>
          <w:b w:val="0"/>
          <w:bCs w:val="0"/>
          <w:sz w:val="22"/>
          <w:szCs w:val="22"/>
          <w:u w:val="none"/>
          <w:lang w:val="en-US"/>
        </w:rPr>
        <w:tab/>
        <w:t>During an exchange with civil society in preparations for the OGP’s fourth world conference in Paris in 2016, President François Hollande launched the challenge of “</w:t>
      </w:r>
      <w:r w:rsidRPr="00B80566">
        <w:rPr>
          <w:rFonts w:asciiTheme="minorHAnsi" w:hAnsiTheme="minorHAnsi" w:cs="Calibri"/>
          <w:b w:val="0"/>
          <w:bCs w:val="0"/>
          <w:i/>
          <w:iCs/>
          <w:sz w:val="22"/>
          <w:szCs w:val="22"/>
          <w:u w:val="none"/>
          <w:lang w:val="en-US"/>
        </w:rPr>
        <w:t>involving entrepreneurs of the general interest to improve the relations between citizens and public officials</w:t>
      </w:r>
      <w:r w:rsidRPr="00B80566">
        <w:rPr>
          <w:rFonts w:asciiTheme="minorHAnsi" w:hAnsiTheme="minorHAnsi" w:cs="Calibri"/>
          <w:b w:val="0"/>
          <w:bCs w:val="0"/>
          <w:sz w:val="22"/>
          <w:szCs w:val="22"/>
          <w:u w:val="none"/>
          <w:lang w:val="en-US"/>
        </w:rPr>
        <w:t>”.</w:t>
      </w:r>
      <w:r w:rsidRPr="00B80566">
        <w:rPr>
          <w:rFonts w:asciiTheme="minorHAnsi" w:hAnsiTheme="minorHAnsi" w:cs="Calibri"/>
          <w:b w:val="0"/>
          <w:bCs w:val="0"/>
          <w:u w:val="none"/>
          <w:vertAlign w:val="superscript"/>
          <w:lang w:val="en-US"/>
        </w:rPr>
        <w:footnoteReference w:customMarkFollows="1" w:id="8"/>
        <w:t>8</w:t>
      </w:r>
      <w:r w:rsidRPr="00B80566">
        <w:rPr>
          <w:rFonts w:asciiTheme="minorHAnsi" w:hAnsiTheme="minorHAnsi" w:cs="Calibri"/>
          <w:b w:val="0"/>
          <w:bCs w:val="0"/>
          <w:sz w:val="22"/>
          <w:szCs w:val="22"/>
          <w:u w:val="none"/>
          <w:lang w:val="en-US"/>
        </w:rPr>
        <w:t xml:space="preserve"> Since 2017, several “classes” of these entrepreneurs (EIGs) have joined public administrations in order, along with public agents who want to innovate, to take up challenges related to the digital transition.</w:t>
      </w:r>
    </w:p>
    <w:p w:rsidR="00B80566" w:rsidRDefault="00B80566"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B80566" w:rsidRDefault="00B80566"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B80566" w:rsidRDefault="001D1261"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r>
        <w:rPr>
          <w:noProof/>
        </w:rPr>
        <w:drawing>
          <wp:inline distT="0" distB="0" distL="0" distR="0">
            <wp:extent cx="5581650" cy="2494280"/>
            <wp:effectExtent l="0" t="0" r="0" b="1270"/>
            <wp:docPr id="2" name="officeArt object" descr="Une image contenant texte, personne, intérieur, foule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Une image contenant texte, personne, intérieur, foule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r="1340" b="15092"/>
                    <a:stretch>
                      <a:fillRect/>
                    </a:stretch>
                  </pic:blipFill>
                  <pic:spPr bwMode="auto">
                    <a:xfrm>
                      <a:off x="0" y="0"/>
                      <a:ext cx="5581650" cy="2494280"/>
                    </a:xfrm>
                    <a:prstGeom prst="rect">
                      <a:avLst/>
                    </a:prstGeom>
                    <a:noFill/>
                    <a:ln>
                      <a:noFill/>
                    </a:ln>
                  </pic:spPr>
                </pic:pic>
              </a:graphicData>
            </a:graphic>
          </wp:inline>
        </w:drawing>
      </w:r>
    </w:p>
    <w:p w:rsidR="00B80566" w:rsidRPr="00253F2D" w:rsidRDefault="00B80566"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Calibri" w:hAnsi="Calibri" w:cs="Calibri"/>
          <w:sz w:val="16"/>
          <w:szCs w:val="16"/>
          <w:lang w:val="en-US"/>
        </w:rPr>
      </w:pPr>
      <w:r w:rsidRPr="00253F2D">
        <w:rPr>
          <w:rFonts w:ascii="Calibri" w:hAnsi="Calibri" w:cs="Calibri"/>
          <w:b/>
          <w:bCs/>
          <w:sz w:val="16"/>
          <w:szCs w:val="16"/>
          <w:lang w:val="en-US"/>
        </w:rPr>
        <w:t>Figure 2</w:t>
      </w:r>
      <w:r w:rsidRPr="00253F2D">
        <w:rPr>
          <w:rFonts w:ascii="Calibri" w:hAnsi="Calibri" w:cs="Calibri"/>
          <w:sz w:val="16"/>
          <w:szCs w:val="16"/>
          <w:lang w:val="en-US"/>
        </w:rPr>
        <w:t>: Screen shot of the home page of the program “Entrepreneurs of General Interest” (EIGs)</w:t>
      </w:r>
    </w:p>
    <w:p w:rsidR="00B80566" w:rsidRPr="00253F2D" w:rsidRDefault="00B80566"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Calibri" w:hAnsi="Calibri" w:cs="Calibri"/>
          <w:sz w:val="16"/>
          <w:szCs w:val="16"/>
        </w:rPr>
      </w:pPr>
      <w:r w:rsidRPr="00253F2D">
        <w:rPr>
          <w:rFonts w:ascii="Calibri" w:hAnsi="Calibri" w:cs="Calibri"/>
          <w:sz w:val="16"/>
          <w:szCs w:val="16"/>
        </w:rPr>
        <w:t xml:space="preserve">Source: </w:t>
      </w:r>
      <w:hyperlink r:id="rId11" w:history="1">
        <w:r w:rsidRPr="00253F2D">
          <w:rPr>
            <w:rStyle w:val="Lienhypertexte"/>
            <w:rFonts w:ascii="Calibri" w:hAnsi="Calibri" w:cs="Calibri"/>
            <w:sz w:val="16"/>
            <w:szCs w:val="16"/>
          </w:rPr>
          <w:t>https://entrepreneur-interet-general.etalab.gouv.fr/</w:t>
        </w:r>
      </w:hyperlink>
    </w:p>
    <w:p w:rsidR="00B80566" w:rsidRDefault="00B80566"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p>
    <w:p w:rsidR="00B80566" w:rsidRDefault="00B80566"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p>
    <w:p w:rsidR="0064053C" w:rsidRPr="00B80566"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r w:rsidRPr="00B80566">
        <w:rPr>
          <w:rFonts w:asciiTheme="minorHAnsi" w:hAnsiTheme="minorHAnsi" w:cs="Calibri"/>
          <w:sz w:val="22"/>
          <w:szCs w:val="22"/>
          <w:lang w:val="en-US"/>
        </w:rPr>
        <w:tab/>
        <w:t xml:space="preserve">This original program has recruited for the public administration, and maintained there, persons with skills in design and the computer and data sciences. There is a strong demand for these job profiles in the private sector; and the public sector has difficulty finding recruits. To see to the smooth operation of programs and the collaboration between EIGs and public agents, a team for coordinating this program was set up within </w:t>
      </w:r>
      <w:proofErr w:type="spellStart"/>
      <w:r w:rsidRPr="00B80566">
        <w:rPr>
          <w:rFonts w:asciiTheme="minorHAnsi" w:hAnsiTheme="minorHAnsi" w:cs="Calibri"/>
          <w:sz w:val="22"/>
          <w:szCs w:val="22"/>
          <w:lang w:val="en-US"/>
        </w:rPr>
        <w:t>Etalab</w:t>
      </w:r>
      <w:proofErr w:type="spellEnd"/>
      <w:r w:rsidRPr="00B80566">
        <w:rPr>
          <w:rFonts w:asciiTheme="minorHAnsi" w:hAnsiTheme="minorHAnsi" w:cs="Calibri"/>
          <w:sz w:val="22"/>
          <w:szCs w:val="22"/>
          <w:lang w:val="en-US"/>
        </w:rPr>
        <w:t>. It accompanies this community by using methods of facilitation and knowledge-sharing, and making open documents on the projects.</w:t>
      </w:r>
      <w:r w:rsidRPr="00B80566">
        <w:rPr>
          <w:rFonts w:asciiTheme="minorHAnsi" w:hAnsiTheme="minorHAnsi" w:cs="Calibri"/>
          <w:sz w:val="24"/>
          <w:szCs w:val="24"/>
          <w:vertAlign w:val="superscript"/>
          <w:lang w:val="en-US"/>
        </w:rPr>
        <w:footnoteReference w:customMarkFollows="1" w:id="9"/>
        <w:t>9</w:t>
      </w:r>
    </w:p>
    <w:p w:rsidR="0064053C" w:rsidRPr="00B80566"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sz w:val="22"/>
          <w:szCs w:val="22"/>
          <w:lang w:val="en-US"/>
        </w:rPr>
      </w:pPr>
      <w:r w:rsidRPr="00B80566">
        <w:rPr>
          <w:rFonts w:asciiTheme="minorHAnsi" w:hAnsiTheme="minorHAnsi" w:cs="Calibri"/>
          <w:sz w:val="22"/>
          <w:szCs w:val="22"/>
          <w:lang w:val="en-US"/>
        </w:rPr>
        <w:lastRenderedPageBreak/>
        <w:tab/>
        <w:t>This approach is, in many ways, close to the concept of “open innovation”. For one thing, all programming done by EIG teams is open source.</w:t>
      </w:r>
      <w:r w:rsidRPr="00B80566">
        <w:rPr>
          <w:rFonts w:asciiTheme="minorHAnsi" w:hAnsiTheme="minorHAnsi" w:cs="Calibri"/>
          <w:sz w:val="24"/>
          <w:szCs w:val="24"/>
          <w:vertAlign w:val="superscript"/>
          <w:lang w:val="en-US"/>
        </w:rPr>
        <w:t>1</w:t>
      </w:r>
      <w:r w:rsidRPr="00B80566">
        <w:rPr>
          <w:rFonts w:asciiTheme="minorHAnsi" w:hAnsiTheme="minorHAnsi" w:cs="Calibri"/>
          <w:sz w:val="24"/>
          <w:szCs w:val="24"/>
          <w:vertAlign w:val="superscript"/>
          <w:lang w:val="en-US"/>
        </w:rPr>
        <w:footnoteReference w:customMarkFollows="1" w:id="10"/>
        <w:t>0</w:t>
      </w:r>
      <w:r w:rsidRPr="00B80566">
        <w:rPr>
          <w:rFonts w:asciiTheme="minorHAnsi" w:hAnsiTheme="minorHAnsi" w:cs="Calibri"/>
          <w:sz w:val="22"/>
          <w:szCs w:val="22"/>
          <w:lang w:val="en-US"/>
        </w:rPr>
        <w:t xml:space="preserve"> </w:t>
      </w:r>
      <w:proofErr w:type="gramStart"/>
      <w:r w:rsidRPr="00B80566">
        <w:rPr>
          <w:rFonts w:asciiTheme="minorHAnsi" w:hAnsiTheme="minorHAnsi" w:cs="Calibri"/>
          <w:sz w:val="22"/>
          <w:szCs w:val="22"/>
          <w:lang w:val="en-US"/>
        </w:rPr>
        <w:t>These</w:t>
      </w:r>
      <w:proofErr w:type="gramEnd"/>
      <w:r w:rsidRPr="00B80566">
        <w:rPr>
          <w:rFonts w:asciiTheme="minorHAnsi" w:hAnsiTheme="minorHAnsi" w:cs="Calibri"/>
          <w:sz w:val="22"/>
          <w:szCs w:val="22"/>
          <w:lang w:val="en-US"/>
        </w:rPr>
        <w:t xml:space="preserve"> technological bricks can then be reused by other open projects. For another, the recruitment of skills from outside the public administration is a sign of the latter’s openness. Finally, the EIG community has formed an association, </w:t>
      </w:r>
      <w:proofErr w:type="gramStart"/>
      <w:r w:rsidRPr="00B80566">
        <w:rPr>
          <w:rFonts w:asciiTheme="minorHAnsi" w:hAnsiTheme="minorHAnsi" w:cs="Calibri"/>
          <w:sz w:val="22"/>
          <w:szCs w:val="22"/>
          <w:lang w:val="en-US"/>
        </w:rPr>
        <w:t>Léon, that,</w:t>
      </w:r>
      <w:proofErr w:type="gramEnd"/>
      <w:r w:rsidRPr="00B80566">
        <w:rPr>
          <w:rFonts w:asciiTheme="minorHAnsi" w:hAnsiTheme="minorHAnsi" w:cs="Calibri"/>
          <w:sz w:val="22"/>
          <w:szCs w:val="22"/>
          <w:lang w:val="en-US"/>
        </w:rPr>
        <w:t xml:space="preserve"> over time, has shared experiences and advice, and is pursuing collaboration with public administrations.</w:t>
      </w:r>
      <w:r w:rsidRPr="00B80566">
        <w:rPr>
          <w:rFonts w:asciiTheme="minorHAnsi" w:hAnsiTheme="minorHAnsi" w:cs="Calibri"/>
          <w:sz w:val="24"/>
          <w:szCs w:val="24"/>
          <w:vertAlign w:val="superscript"/>
          <w:lang w:val="en-US"/>
        </w:rPr>
        <w:t>1</w:t>
      </w:r>
      <w:r w:rsidRPr="00B80566">
        <w:rPr>
          <w:rFonts w:asciiTheme="minorHAnsi" w:hAnsiTheme="minorHAnsi" w:cs="Calibri"/>
          <w:sz w:val="24"/>
          <w:szCs w:val="24"/>
          <w:vertAlign w:val="superscript"/>
          <w:lang w:val="en-US"/>
        </w:rPr>
        <w:footnoteReference w:customMarkFollows="1" w:id="11"/>
        <w:t>1</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33"/>
          <w:szCs w:val="33"/>
          <w:u w:val="none"/>
          <w:lang w:val="en-US"/>
        </w:rPr>
      </w:pPr>
      <w:bookmarkStart w:id="3" w:name="_1__3_"/>
      <w:bookmarkEnd w:id="3"/>
      <w:r w:rsidRPr="00B80566">
        <w:rPr>
          <w:rFonts w:asciiTheme="minorHAnsi" w:hAnsiTheme="minorHAnsi" w:cs="Calibri"/>
          <w:sz w:val="33"/>
          <w:szCs w:val="33"/>
          <w:lang w:val="en-US"/>
        </w:rPr>
        <w:t>Artificial intelligence, a new frontier for open contributions</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r w:rsidRPr="00B80566">
        <w:rPr>
          <w:rFonts w:asciiTheme="minorHAnsi" w:hAnsiTheme="minorHAnsi" w:cs="Calibri"/>
          <w:b w:val="0"/>
          <w:bCs w:val="0"/>
          <w:sz w:val="22"/>
          <w:szCs w:val="22"/>
          <w:u w:val="none"/>
          <w:lang w:val="en-US"/>
        </w:rPr>
        <w:tab/>
        <w:t>Launched in June 2019, PIAF (</w:t>
      </w:r>
      <w:proofErr w:type="spellStart"/>
      <w:r w:rsidRPr="00B80566">
        <w:rPr>
          <w:rFonts w:asciiTheme="minorHAnsi" w:hAnsiTheme="minorHAnsi" w:cs="Calibri"/>
          <w:b w:val="0"/>
          <w:bCs w:val="0"/>
          <w:sz w:val="22"/>
          <w:szCs w:val="22"/>
          <w:u w:val="none"/>
          <w:lang w:val="en-US"/>
        </w:rPr>
        <w:t>Professionnels</w:t>
      </w:r>
      <w:proofErr w:type="spellEnd"/>
      <w:r w:rsidRPr="00B80566">
        <w:rPr>
          <w:rFonts w:asciiTheme="minorHAnsi" w:hAnsiTheme="minorHAnsi" w:cs="Calibri"/>
          <w:b w:val="0"/>
          <w:bCs w:val="0"/>
          <w:sz w:val="22"/>
          <w:szCs w:val="22"/>
          <w:u w:val="none"/>
          <w:lang w:val="en-US"/>
        </w:rPr>
        <w:t xml:space="preserve"> de </w:t>
      </w:r>
      <w:proofErr w:type="spellStart"/>
      <w:r w:rsidRPr="00B80566">
        <w:rPr>
          <w:rFonts w:asciiTheme="minorHAnsi" w:hAnsiTheme="minorHAnsi" w:cs="Calibri"/>
          <w:b w:val="0"/>
          <w:bCs w:val="0"/>
          <w:sz w:val="22"/>
          <w:szCs w:val="22"/>
          <w:u w:val="none"/>
          <w:lang w:val="en-US"/>
        </w:rPr>
        <w:t>l'Image</w:t>
      </w:r>
      <w:proofErr w:type="spellEnd"/>
      <w:r w:rsidRPr="00B80566">
        <w:rPr>
          <w:rFonts w:asciiTheme="minorHAnsi" w:hAnsiTheme="minorHAnsi" w:cs="Calibri"/>
          <w:b w:val="0"/>
          <w:bCs w:val="0"/>
          <w:sz w:val="22"/>
          <w:szCs w:val="22"/>
          <w:u w:val="none"/>
          <w:lang w:val="en-US"/>
        </w:rPr>
        <w:t xml:space="preserve"> </w:t>
      </w:r>
      <w:proofErr w:type="gramStart"/>
      <w:r w:rsidRPr="00B80566">
        <w:rPr>
          <w:rFonts w:asciiTheme="minorHAnsi" w:hAnsiTheme="minorHAnsi" w:cs="Calibri"/>
          <w:b w:val="0"/>
          <w:bCs w:val="0"/>
          <w:sz w:val="22"/>
          <w:szCs w:val="22"/>
          <w:u w:val="none"/>
          <w:lang w:val="en-US"/>
        </w:rPr>
        <w:t>et</w:t>
      </w:r>
      <w:proofErr w:type="gramEnd"/>
      <w:r w:rsidRPr="00B80566">
        <w:rPr>
          <w:rFonts w:asciiTheme="minorHAnsi" w:hAnsiTheme="minorHAnsi" w:cs="Calibri"/>
          <w:b w:val="0"/>
          <w:bCs w:val="0"/>
          <w:sz w:val="22"/>
          <w:szCs w:val="22"/>
          <w:u w:val="none"/>
          <w:lang w:val="en-US"/>
        </w:rPr>
        <w:t xml:space="preserve"> des Archives de la Francophonie) seeks to design training data for a French-speaking artificial intelligence (AI), and make them available in order to improve the performance of conversational devices and search engines.</w:t>
      </w:r>
      <w:r w:rsidRPr="00B80566">
        <w:rPr>
          <w:rFonts w:asciiTheme="minorHAnsi" w:hAnsiTheme="minorHAnsi" w:cs="Calibri"/>
          <w:b w:val="0"/>
          <w:bCs w:val="0"/>
          <w:u w:val="none"/>
          <w:vertAlign w:val="superscript"/>
          <w:lang w:val="en-US"/>
        </w:rPr>
        <w:t>1</w:t>
      </w:r>
      <w:r w:rsidRPr="00B80566">
        <w:rPr>
          <w:rFonts w:asciiTheme="minorHAnsi" w:hAnsiTheme="minorHAnsi" w:cs="Calibri"/>
          <w:b w:val="0"/>
          <w:bCs w:val="0"/>
          <w:u w:val="none"/>
          <w:vertAlign w:val="superscript"/>
          <w:lang w:val="en-US"/>
        </w:rPr>
        <w:footnoteReference w:customMarkFollows="1" w:id="12"/>
        <w:t>2</w:t>
      </w:r>
      <w:r w:rsidRPr="00B80566">
        <w:rPr>
          <w:rFonts w:asciiTheme="minorHAnsi" w:hAnsiTheme="minorHAnsi" w:cs="Calibri"/>
          <w:b w:val="0"/>
          <w:bCs w:val="0"/>
          <w:sz w:val="22"/>
          <w:szCs w:val="22"/>
          <w:u w:val="none"/>
          <w:lang w:val="en-US"/>
        </w:rPr>
        <w:t xml:space="preserve"> A community approach was adopted from the very start. To assemble training data, texts (excerpts from Wikipedia in the case of PIAF) have to be annotated; and this has to be done by people.</w:t>
      </w:r>
      <w:r w:rsidRPr="00B80566">
        <w:rPr>
          <w:rFonts w:asciiTheme="minorHAnsi" w:hAnsiTheme="minorHAnsi" w:cs="Calibri"/>
          <w:b w:val="0"/>
          <w:bCs w:val="0"/>
          <w:u w:val="none"/>
          <w:vertAlign w:val="superscript"/>
          <w:lang w:val="en-US"/>
        </w:rPr>
        <w:t>1</w:t>
      </w:r>
      <w:r w:rsidRPr="00B80566">
        <w:rPr>
          <w:rFonts w:asciiTheme="minorHAnsi" w:hAnsiTheme="minorHAnsi" w:cs="Calibri"/>
          <w:b w:val="0"/>
          <w:bCs w:val="0"/>
          <w:u w:val="none"/>
          <w:vertAlign w:val="superscript"/>
          <w:lang w:val="en-US"/>
        </w:rPr>
        <w:footnoteReference w:customMarkFollows="1" w:id="13"/>
        <w:t>3</w:t>
      </w:r>
      <w:r w:rsidRPr="00B80566">
        <w:rPr>
          <w:rFonts w:asciiTheme="minorHAnsi" w:hAnsiTheme="minorHAnsi" w:cs="Calibri"/>
          <w:b w:val="0"/>
          <w:bCs w:val="0"/>
          <w:sz w:val="22"/>
          <w:szCs w:val="22"/>
          <w:u w:val="none"/>
          <w:lang w:val="en-US"/>
        </w:rPr>
        <w:t xml:space="preserve"> Questions about ethics soon cropped up. To what degree was the annotation done by </w:t>
      </w:r>
      <w:proofErr w:type="gramStart"/>
      <w:r w:rsidRPr="00B80566">
        <w:rPr>
          <w:rFonts w:asciiTheme="minorHAnsi" w:hAnsiTheme="minorHAnsi" w:cs="Calibri"/>
          <w:b w:val="0"/>
          <w:bCs w:val="0"/>
          <w:sz w:val="22"/>
          <w:szCs w:val="22"/>
          <w:u w:val="none"/>
          <w:lang w:val="en-US"/>
        </w:rPr>
        <w:t>volunteers</w:t>
      </w:r>
      <w:proofErr w:type="gramEnd"/>
      <w:r w:rsidRPr="00B80566">
        <w:rPr>
          <w:rFonts w:asciiTheme="minorHAnsi" w:hAnsiTheme="minorHAnsi" w:cs="Calibri"/>
          <w:b w:val="0"/>
          <w:bCs w:val="0"/>
          <w:sz w:val="22"/>
          <w:szCs w:val="22"/>
          <w:u w:val="none"/>
          <w:lang w:val="en-US"/>
        </w:rPr>
        <w:t xml:space="preserve"> not for-free work? What motivates these contributors to a database that will be used in ways still unknown? By way of comparison, my motivation to contribute to a participatory project will not be the same if the latter is to build a center for helping the needy or a prison. In the case of PIAF, even though uses were not known at the start, a key motivation was to make the law more legible.</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r w:rsidRPr="00B80566">
        <w:rPr>
          <w:rFonts w:asciiTheme="minorHAnsi" w:hAnsiTheme="minorHAnsi" w:cs="Calibri"/>
          <w:b w:val="0"/>
          <w:bCs w:val="0"/>
          <w:sz w:val="22"/>
          <w:szCs w:val="22"/>
          <w:u w:val="none"/>
          <w:lang w:val="en-US"/>
        </w:rPr>
        <w:tab/>
        <w:t>To cope with these limits, the project initiators adopted a transparent, educational approach. The annotation of the Wikipedia articles was a time for acquiring knowledge of issues related to the automatic processing of language. Transparency took the form of a published charter that presents the project’s meaning to its contributors. By contributing, the volunteer pledges, in a sense, to improve the presence of a French corpus on artificial intelligence and to make these data as widely available as possible. These two actions opened PIAF to the more “technically minded”. To broach questions of ethics, PIAF has been presented to students and research teams in artificial intelligence.</w:t>
      </w:r>
      <w:r w:rsidRPr="00B80566">
        <w:rPr>
          <w:rFonts w:asciiTheme="minorHAnsi" w:hAnsiTheme="minorHAnsi" w:cs="Calibri"/>
          <w:b w:val="0"/>
          <w:bCs w:val="0"/>
          <w:u w:val="none"/>
          <w:vertAlign w:val="superscript"/>
          <w:lang w:val="en-US"/>
        </w:rPr>
        <w:t>1</w:t>
      </w:r>
      <w:r w:rsidRPr="00B80566">
        <w:rPr>
          <w:rFonts w:asciiTheme="minorHAnsi" w:hAnsiTheme="minorHAnsi" w:cs="Calibri"/>
          <w:b w:val="0"/>
          <w:bCs w:val="0"/>
          <w:u w:val="none"/>
          <w:vertAlign w:val="superscript"/>
          <w:lang w:val="en-US"/>
        </w:rPr>
        <w:footnoteReference w:customMarkFollows="1" w:id="14"/>
        <w:t>4</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33"/>
          <w:szCs w:val="33"/>
          <w:u w:val="none"/>
          <w:lang w:val="en-US"/>
        </w:rPr>
      </w:pPr>
      <w:bookmarkStart w:id="4" w:name="_1__4_"/>
      <w:bookmarkEnd w:id="4"/>
      <w:r w:rsidRPr="00B80566">
        <w:rPr>
          <w:rFonts w:asciiTheme="minorHAnsi" w:hAnsiTheme="minorHAnsi" w:cs="Calibri"/>
          <w:sz w:val="33"/>
          <w:szCs w:val="33"/>
          <w:lang w:val="en-US"/>
        </w:rPr>
        <w:t xml:space="preserve">From an assembly of communities to a “commons”: </w:t>
      </w:r>
      <w:proofErr w:type="spellStart"/>
      <w:r w:rsidRPr="00B80566">
        <w:rPr>
          <w:rFonts w:asciiTheme="minorHAnsi" w:hAnsiTheme="minorHAnsi" w:cs="Calibri"/>
          <w:sz w:val="33"/>
          <w:szCs w:val="33"/>
          <w:lang w:val="en-US"/>
        </w:rPr>
        <w:t>Fabrique</w:t>
      </w:r>
      <w:proofErr w:type="spellEnd"/>
      <w:r w:rsidRPr="00B80566">
        <w:rPr>
          <w:rFonts w:asciiTheme="minorHAnsi" w:hAnsiTheme="minorHAnsi" w:cs="Calibri"/>
          <w:sz w:val="33"/>
          <w:szCs w:val="33"/>
          <w:lang w:val="en-US"/>
        </w:rPr>
        <w:t xml:space="preserve"> des </w:t>
      </w:r>
      <w:proofErr w:type="spellStart"/>
      <w:r w:rsidRPr="00B80566">
        <w:rPr>
          <w:rFonts w:asciiTheme="minorHAnsi" w:hAnsiTheme="minorHAnsi" w:cs="Calibri"/>
          <w:sz w:val="33"/>
          <w:szCs w:val="33"/>
          <w:lang w:val="en-US"/>
        </w:rPr>
        <w:t>Mobilités</w:t>
      </w:r>
      <w:proofErr w:type="spellEnd"/>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r w:rsidRPr="00B80566">
        <w:rPr>
          <w:rFonts w:asciiTheme="minorHAnsi" w:hAnsiTheme="minorHAnsi" w:cs="Calibri"/>
          <w:b w:val="0"/>
          <w:bCs w:val="0"/>
          <w:sz w:val="22"/>
          <w:szCs w:val="22"/>
          <w:u w:val="none"/>
          <w:lang w:val="en-US"/>
        </w:rPr>
        <w:tab/>
        <w:t xml:space="preserve">Several public and private organizations were at the origin of </w:t>
      </w:r>
      <w:proofErr w:type="spellStart"/>
      <w:r w:rsidRPr="00B80566">
        <w:rPr>
          <w:rFonts w:asciiTheme="minorHAnsi" w:hAnsiTheme="minorHAnsi" w:cs="Calibri"/>
          <w:b w:val="0"/>
          <w:bCs w:val="0"/>
          <w:sz w:val="22"/>
          <w:szCs w:val="22"/>
          <w:u w:val="none"/>
          <w:lang w:val="en-US"/>
        </w:rPr>
        <w:t>Fabrique</w:t>
      </w:r>
      <w:proofErr w:type="spellEnd"/>
      <w:r w:rsidRPr="00B80566">
        <w:rPr>
          <w:rFonts w:asciiTheme="minorHAnsi" w:hAnsiTheme="minorHAnsi" w:cs="Calibri"/>
          <w:b w:val="0"/>
          <w:bCs w:val="0"/>
          <w:sz w:val="22"/>
          <w:szCs w:val="22"/>
          <w:u w:val="none"/>
          <w:lang w:val="en-US"/>
        </w:rPr>
        <w:t xml:space="preserve"> des </w:t>
      </w:r>
      <w:proofErr w:type="spellStart"/>
      <w:r w:rsidRPr="00B80566">
        <w:rPr>
          <w:rFonts w:asciiTheme="minorHAnsi" w:hAnsiTheme="minorHAnsi" w:cs="Calibri"/>
          <w:b w:val="0"/>
          <w:bCs w:val="0"/>
          <w:sz w:val="22"/>
          <w:szCs w:val="22"/>
          <w:u w:val="none"/>
          <w:lang w:val="en-US"/>
        </w:rPr>
        <w:t>Mobilités</w:t>
      </w:r>
      <w:proofErr w:type="spellEnd"/>
      <w:r w:rsidRPr="00B80566">
        <w:rPr>
          <w:rFonts w:asciiTheme="minorHAnsi" w:hAnsiTheme="minorHAnsi" w:cs="Calibri"/>
          <w:b w:val="0"/>
          <w:bCs w:val="0"/>
          <w:sz w:val="22"/>
          <w:szCs w:val="22"/>
          <w:u w:val="none"/>
          <w:lang w:val="en-US"/>
        </w:rPr>
        <w:t xml:space="preserve">. The Agency of the Environmental Transition (ADEME) saw this as an opportunity for inventing forms of transportation for tomorrow and sharing the resources (experts, data, source code, methods) for this invention. Thanks to the formation of an association in 2018, resources could be pooled — shared within a community of actors who define the rules of governance for managing these resources. </w:t>
      </w:r>
      <w:proofErr w:type="spellStart"/>
      <w:r w:rsidRPr="00B80566">
        <w:rPr>
          <w:rFonts w:asciiTheme="minorHAnsi" w:hAnsiTheme="minorHAnsi" w:cs="Calibri"/>
          <w:b w:val="0"/>
          <w:bCs w:val="0"/>
          <w:sz w:val="22"/>
          <w:szCs w:val="22"/>
          <w:u w:val="none"/>
          <w:lang w:val="en-US"/>
        </w:rPr>
        <w:t>Fabrique</w:t>
      </w:r>
      <w:proofErr w:type="spellEnd"/>
      <w:r w:rsidRPr="00B80566">
        <w:rPr>
          <w:rFonts w:asciiTheme="minorHAnsi" w:hAnsiTheme="minorHAnsi" w:cs="Calibri"/>
          <w:b w:val="0"/>
          <w:bCs w:val="0"/>
          <w:sz w:val="22"/>
          <w:szCs w:val="22"/>
          <w:u w:val="none"/>
          <w:lang w:val="en-US"/>
        </w:rPr>
        <w:t xml:space="preserve"> des </w:t>
      </w:r>
      <w:proofErr w:type="spellStart"/>
      <w:r w:rsidRPr="00B80566">
        <w:rPr>
          <w:rFonts w:asciiTheme="minorHAnsi" w:hAnsiTheme="minorHAnsi" w:cs="Calibri"/>
          <w:b w:val="0"/>
          <w:bCs w:val="0"/>
          <w:sz w:val="22"/>
          <w:szCs w:val="22"/>
          <w:u w:val="none"/>
          <w:lang w:val="en-US"/>
        </w:rPr>
        <w:t>Mobilités</w:t>
      </w:r>
      <w:proofErr w:type="spellEnd"/>
      <w:r w:rsidRPr="00B80566">
        <w:rPr>
          <w:rFonts w:asciiTheme="minorHAnsi" w:hAnsiTheme="minorHAnsi" w:cs="Calibri"/>
          <w:b w:val="0"/>
          <w:bCs w:val="0"/>
          <w:sz w:val="22"/>
          <w:szCs w:val="22"/>
          <w:u w:val="none"/>
          <w:lang w:val="en-US"/>
        </w:rPr>
        <w:t xml:space="preserve"> is to muster communities and engineer the products to be put in common. The persons who join the association can create or join a thematic “community of interest” (ride-sharing, electric vehicles, etc.), be active in projects, pool resources and help develop a commons.</w:t>
      </w:r>
      <w:r w:rsidRPr="00B80566">
        <w:rPr>
          <w:rFonts w:asciiTheme="minorHAnsi" w:hAnsiTheme="minorHAnsi" w:cs="Calibri"/>
          <w:b w:val="0"/>
          <w:bCs w:val="0"/>
          <w:u w:val="none"/>
          <w:vertAlign w:val="superscript"/>
          <w:lang w:val="en-US"/>
        </w:rPr>
        <w:t>1</w:t>
      </w:r>
      <w:r w:rsidRPr="00B80566">
        <w:rPr>
          <w:rFonts w:asciiTheme="minorHAnsi" w:hAnsiTheme="minorHAnsi" w:cs="Calibri"/>
          <w:b w:val="0"/>
          <w:bCs w:val="0"/>
          <w:u w:val="none"/>
          <w:vertAlign w:val="superscript"/>
          <w:lang w:val="en-US"/>
        </w:rPr>
        <w:footnoteReference w:customMarkFollows="1" w:id="15"/>
        <w:t>5</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r w:rsidRPr="00B80566">
        <w:rPr>
          <w:rFonts w:asciiTheme="minorHAnsi" w:hAnsiTheme="minorHAnsi" w:cs="Calibri"/>
          <w:b w:val="0"/>
          <w:bCs w:val="0"/>
          <w:sz w:val="22"/>
          <w:szCs w:val="22"/>
          <w:u w:val="none"/>
          <w:lang w:val="en-US"/>
        </w:rPr>
        <w:lastRenderedPageBreak/>
        <w:tab/>
        <w:t xml:space="preserve">A multiplier effect is at work. </w:t>
      </w:r>
      <w:proofErr w:type="spellStart"/>
      <w:r w:rsidRPr="00B80566">
        <w:rPr>
          <w:rFonts w:asciiTheme="minorHAnsi" w:hAnsiTheme="minorHAnsi" w:cs="Calibri"/>
          <w:b w:val="0"/>
          <w:bCs w:val="0"/>
          <w:sz w:val="22"/>
          <w:szCs w:val="22"/>
          <w:u w:val="none"/>
          <w:lang w:val="en-US"/>
        </w:rPr>
        <w:t>Fabrique</w:t>
      </w:r>
      <w:proofErr w:type="spellEnd"/>
      <w:r w:rsidRPr="00B80566">
        <w:rPr>
          <w:rFonts w:asciiTheme="minorHAnsi" w:hAnsiTheme="minorHAnsi" w:cs="Calibri"/>
          <w:b w:val="0"/>
          <w:bCs w:val="0"/>
          <w:sz w:val="22"/>
          <w:szCs w:val="22"/>
          <w:u w:val="none"/>
          <w:lang w:val="en-US"/>
        </w:rPr>
        <w:t xml:space="preserve"> des </w:t>
      </w:r>
      <w:proofErr w:type="spellStart"/>
      <w:r w:rsidRPr="00B80566">
        <w:rPr>
          <w:rFonts w:asciiTheme="minorHAnsi" w:hAnsiTheme="minorHAnsi" w:cs="Calibri"/>
          <w:b w:val="0"/>
          <w:bCs w:val="0"/>
          <w:sz w:val="22"/>
          <w:szCs w:val="22"/>
          <w:u w:val="none"/>
          <w:lang w:val="en-US"/>
        </w:rPr>
        <w:t>Mobilités</w:t>
      </w:r>
      <w:proofErr w:type="spellEnd"/>
      <w:r w:rsidRPr="00B80566">
        <w:rPr>
          <w:rFonts w:asciiTheme="minorHAnsi" w:hAnsiTheme="minorHAnsi" w:cs="Calibri"/>
          <w:b w:val="0"/>
          <w:bCs w:val="0"/>
          <w:sz w:val="22"/>
          <w:szCs w:val="22"/>
          <w:u w:val="none"/>
          <w:lang w:val="en-US"/>
        </w:rPr>
        <w:t xml:space="preserve"> hosts several public digital programs (such as “The registry as proof of ride-sharing” or “My mobility account”</w:t>
      </w:r>
      <w:proofErr w:type="gramStart"/>
      <w:r w:rsidRPr="00B80566">
        <w:rPr>
          <w:rFonts w:asciiTheme="minorHAnsi" w:hAnsiTheme="minorHAnsi" w:cs="Calibri"/>
          <w:b w:val="0"/>
          <w:bCs w:val="0"/>
          <w:sz w:val="22"/>
          <w:szCs w:val="22"/>
          <w:u w:val="none"/>
          <w:lang w:val="en-US"/>
        </w:rPr>
        <w:t>)</w:t>
      </w:r>
      <w:r w:rsidRPr="00B80566">
        <w:rPr>
          <w:rFonts w:asciiTheme="minorHAnsi" w:hAnsiTheme="minorHAnsi" w:cs="Calibri"/>
          <w:b w:val="0"/>
          <w:bCs w:val="0"/>
          <w:u w:val="none"/>
          <w:vertAlign w:val="superscript"/>
          <w:lang w:val="en-US"/>
        </w:rPr>
        <w:t>1</w:t>
      </w:r>
      <w:r w:rsidRPr="00B80566">
        <w:rPr>
          <w:rFonts w:asciiTheme="minorHAnsi" w:hAnsiTheme="minorHAnsi" w:cs="Calibri"/>
          <w:b w:val="0"/>
          <w:bCs w:val="0"/>
          <w:u w:val="none"/>
          <w:vertAlign w:val="superscript"/>
          <w:lang w:val="en-US"/>
        </w:rPr>
        <w:footnoteReference w:customMarkFollows="1" w:id="16"/>
        <w:t>6</w:t>
      </w:r>
      <w:proofErr w:type="gramEnd"/>
      <w:r w:rsidRPr="00B80566">
        <w:rPr>
          <w:rFonts w:asciiTheme="minorHAnsi" w:hAnsiTheme="minorHAnsi" w:cs="Calibri"/>
          <w:b w:val="0"/>
          <w:bCs w:val="0"/>
          <w:sz w:val="22"/>
          <w:szCs w:val="22"/>
          <w:u w:val="none"/>
          <w:lang w:val="en-US"/>
        </w:rPr>
        <w:t>. Not only does this imply that these projects will be maintained, but it also means that the technological bricks and learning experiences that have been developed in a given location (during projects) can be used elsewhere, including outside the country.</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r w:rsidRPr="00B80566">
        <w:rPr>
          <w:rFonts w:asciiTheme="minorHAnsi" w:hAnsiTheme="minorHAnsi" w:cs="Calibri"/>
          <w:b w:val="0"/>
          <w:bCs w:val="0"/>
          <w:sz w:val="22"/>
          <w:szCs w:val="22"/>
          <w:u w:val="none"/>
          <w:lang w:val="en-US"/>
        </w:rPr>
        <w:tab/>
        <w:t>Behind this model under construction lies an opportunity for changing the rationale of partnerships between the state and private organizations, especially in the field of digital technology. An association can become a trusted third party for defining the standards for sharing public data or data in the general interest, for building a public digital infrastructure, or for imagining a digital commons of general interest.</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33"/>
          <w:szCs w:val="33"/>
          <w:u w:val="none"/>
          <w:lang w:val="en-US"/>
        </w:rPr>
      </w:pPr>
      <w:bookmarkStart w:id="5" w:name="_1__5_"/>
      <w:bookmarkEnd w:id="5"/>
      <w:r w:rsidRPr="00B80566">
        <w:rPr>
          <w:rFonts w:asciiTheme="minorHAnsi" w:hAnsiTheme="minorHAnsi" w:cs="Calibri"/>
          <w:sz w:val="33"/>
          <w:szCs w:val="33"/>
          <w:lang w:val="en-US"/>
        </w:rPr>
        <w:t>Digital confidence</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r w:rsidRPr="00B80566">
        <w:rPr>
          <w:rFonts w:asciiTheme="minorHAnsi" w:hAnsiTheme="minorHAnsi" w:cs="Calibri"/>
          <w:b w:val="0"/>
          <w:bCs w:val="0"/>
          <w:sz w:val="22"/>
          <w:szCs w:val="22"/>
          <w:u w:val="none"/>
          <w:lang w:val="en-US"/>
        </w:rPr>
        <w:tab/>
        <w:t>The programs and projects described herein illustrate the impact of the openness of public actions and of the contribution of communities. Jointly producing resources with the assistance of digital communities can be a response to crisis situations. Opening the public sector to “digital skills” increases this sector’s capacity for change. Informing about the potential of artificial intelligence opens new perspectives on questions about the ethics of AI. Setting up associations for inventing new public policies reinvents the model of partnership in the public sector.</w:t>
      </w:r>
    </w:p>
    <w:p w:rsidR="0064053C" w:rsidRPr="00B80566" w:rsidRDefault="0064053C" w:rsidP="00B80566">
      <w:pPr>
        <w:pStyle w:val="ArticleTit1"/>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jc w:val="both"/>
        <w:rPr>
          <w:rFonts w:asciiTheme="minorHAnsi" w:hAnsiTheme="minorHAnsi" w:cs="Calibri"/>
          <w:b w:val="0"/>
          <w:bCs w:val="0"/>
          <w:sz w:val="22"/>
          <w:szCs w:val="22"/>
          <w:u w:val="none"/>
          <w:lang w:val="en-US"/>
        </w:rPr>
      </w:pPr>
    </w:p>
    <w:sectPr w:rsidR="0064053C" w:rsidRPr="00B80566" w:rsidSect="00B80566">
      <w:footerReference w:type="default" r:id="rId12"/>
      <w:pgSz w:w="11906" w:h="16838"/>
      <w:pgMar w:top="1418" w:right="1418" w:bottom="1418" w:left="1418" w:header="1440" w:footer="1134"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D88" w:rsidRDefault="00800D88">
      <w:r>
        <w:separator/>
      </w:r>
    </w:p>
  </w:endnote>
  <w:endnote w:type="continuationSeparator" w:id="0">
    <w:p w:rsidR="00800D88" w:rsidRDefault="0080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566" w:rsidRPr="00B80566" w:rsidRDefault="00B80566" w:rsidP="00B80566">
    <w:pPr>
      <w:jc w:val="right"/>
      <w:rPr>
        <w:color w:val="4B4B4B"/>
      </w:rPr>
    </w:pPr>
    <w:r>
      <w:br/>
    </w:r>
    <w:r w:rsidRPr="005C04DB">
      <w:rPr>
        <w:smallCaps/>
        <w:color w:val="4B4B4B"/>
        <w:spacing w:val="10"/>
      </w:rPr>
      <w:t>Digital issues</w:t>
    </w:r>
    <w:r w:rsidRPr="005C04DB">
      <w:rPr>
        <w:smallCaps/>
        <w:color w:val="4B4B4B"/>
      </w:rPr>
      <w:t xml:space="preserve"> - n°</w:t>
    </w:r>
    <w:r>
      <w:rPr>
        <w:smallCaps/>
        <w:color w:val="4B4B4B"/>
      </w:rPr>
      <w:t>13 – Mar</w:t>
    </w:r>
    <w:r w:rsidR="001D1261">
      <w:rPr>
        <w:smallCaps/>
        <w:color w:val="4B4B4B"/>
      </w:rPr>
      <w:t>ch</w:t>
    </w:r>
    <w:r>
      <w:rPr>
        <w:smallCaps/>
        <w:color w:val="4B4B4B"/>
      </w:rPr>
      <w:t xml:space="preserve"> 2021</w:t>
    </w:r>
    <w:r w:rsidRPr="005C04DB">
      <w:rPr>
        <w:smallCaps/>
        <w:color w:val="4B4B4B"/>
      </w:rPr>
      <w:t xml:space="preserve"> </w:t>
    </w:r>
    <w:r w:rsidRPr="005C04DB">
      <w:rPr>
        <w:color w:val="4B4B4B"/>
      </w:rPr>
      <w:t>© Annales des Mines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D88" w:rsidRDefault="00800D88">
      <w:r>
        <w:separator/>
      </w:r>
    </w:p>
  </w:footnote>
  <w:footnote w:type="continuationSeparator" w:id="0">
    <w:p w:rsidR="00800D88" w:rsidRDefault="00800D88">
      <w:r>
        <w:continuationSeparator/>
      </w:r>
    </w:p>
  </w:footnote>
  <w:footnote w:id="1">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1</w:t>
      </w:r>
      <w:r w:rsidRPr="00B80566">
        <w:rPr>
          <w:rFonts w:asciiTheme="minorHAnsi" w:hAnsiTheme="minorHAnsi" w:cs="Calibri"/>
          <w:sz w:val="16"/>
          <w:szCs w:val="16"/>
          <w:lang w:val="en-US"/>
        </w:rPr>
        <w:t xml:space="preserve"> </w:t>
      </w:r>
      <w:r w:rsidRPr="00B80566">
        <w:rPr>
          <w:rFonts w:asciiTheme="minorHAnsi" w:hAnsiTheme="minorHAnsi" w:cs="Calibri"/>
          <w:sz w:val="16"/>
          <w:szCs w:val="16"/>
          <w:u w:val="single" w:color="C00000"/>
          <w:lang w:val="en-US"/>
        </w:rPr>
        <w:t>This article, including quotations from French sources, has been translated from French by Noal Mellott (Omaha Beach, France). The translation into English has, with the editor’s approval, completed a few bibliographical references. All websites were consulted in June 2021.</w:t>
      </w:r>
    </w:p>
  </w:footnote>
  <w:footnote w:id="2">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2</w:t>
      </w:r>
      <w:r w:rsidRPr="00B80566">
        <w:rPr>
          <w:rFonts w:asciiTheme="minorHAnsi" w:hAnsiTheme="minorHAnsi" w:cs="Calibri"/>
          <w:sz w:val="16"/>
          <w:szCs w:val="16"/>
          <w:lang w:val="en-US"/>
        </w:rPr>
        <w:t xml:space="preserve"> </w:t>
      </w:r>
      <w:hyperlink r:id="rId1" w:history="1">
        <w:r w:rsidR="00E838D5" w:rsidRPr="00E862D9">
          <w:rPr>
            <w:rStyle w:val="Lienhypertexte"/>
            <w:rFonts w:asciiTheme="minorHAnsi" w:hAnsiTheme="minorHAnsi" w:cs="Calibri"/>
            <w:sz w:val="16"/>
            <w:szCs w:val="16"/>
            <w:lang w:val="en-US"/>
          </w:rPr>
          <w:t>https://publiccode.eu/openletter/</w:t>
        </w:r>
      </w:hyperlink>
    </w:p>
  </w:footnote>
  <w:footnote w:id="3">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3</w:t>
      </w:r>
      <w:r w:rsidRPr="00B80566">
        <w:rPr>
          <w:rFonts w:asciiTheme="minorHAnsi" w:hAnsiTheme="minorHAnsi" w:cs="Calibri"/>
          <w:sz w:val="16"/>
          <w:szCs w:val="16"/>
          <w:lang w:val="en-US"/>
        </w:rPr>
        <w:t xml:space="preserve"> </w:t>
      </w:r>
      <w:hyperlink r:id="rId2" w:history="1">
        <w:r w:rsidR="00E838D5" w:rsidRPr="00E862D9">
          <w:rPr>
            <w:rStyle w:val="Lienhypertexte"/>
            <w:rFonts w:asciiTheme="minorHAnsi" w:hAnsiTheme="minorHAnsi" w:cs="Calibri"/>
            <w:sz w:val="16"/>
            <w:szCs w:val="16"/>
            <w:u w:color="C00000"/>
            <w:lang w:val="en-US"/>
          </w:rPr>
          <w:t>https://revolution.chnm.org/exhibits/show/liberty--equality--fraternity/item/555#</w:t>
        </w:r>
      </w:hyperlink>
    </w:p>
  </w:footnote>
  <w:footnote w:id="4">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4</w:t>
      </w:r>
      <w:r w:rsidRPr="00B80566">
        <w:rPr>
          <w:rFonts w:asciiTheme="minorHAnsi" w:hAnsiTheme="minorHAnsi" w:cs="Calibri"/>
          <w:sz w:val="16"/>
          <w:szCs w:val="16"/>
          <w:lang w:val="en-US"/>
        </w:rPr>
        <w:t xml:space="preserve"> Respectively: Act n°2016-1321 of 7 October 2016 for a “digital republic” available at </w:t>
      </w:r>
      <w:hyperlink r:id="rId3" w:history="1">
        <w:r w:rsidR="00E838D5" w:rsidRPr="00E862D9">
          <w:rPr>
            <w:rStyle w:val="Lienhypertexte"/>
            <w:rFonts w:asciiTheme="minorHAnsi" w:hAnsiTheme="minorHAnsi" w:cs="Calibri"/>
            <w:sz w:val="16"/>
            <w:szCs w:val="16"/>
            <w:lang w:val="en-US"/>
          </w:rPr>
          <w:t>https://www.legifrance.gouv.fr/affichTexte.do?cidTexte=JORFTEXT000033202746</w:t>
        </w:r>
      </w:hyperlink>
      <w:r w:rsidRPr="00B80566">
        <w:rPr>
          <w:rFonts w:asciiTheme="minorHAnsi" w:hAnsiTheme="minorHAnsi" w:cs="Calibri"/>
          <w:sz w:val="16"/>
          <w:szCs w:val="16"/>
          <w:lang w:val="en-US"/>
        </w:rPr>
        <w:t xml:space="preserve">; </w:t>
      </w:r>
      <w:proofErr w:type="spellStart"/>
      <w:proofErr w:type="gramStart"/>
      <w:r w:rsidRPr="00B80566">
        <w:rPr>
          <w:rFonts w:asciiTheme="minorHAnsi" w:hAnsiTheme="minorHAnsi" w:cs="Calibri"/>
          <w:sz w:val="16"/>
          <w:szCs w:val="16"/>
          <w:lang w:val="en-US"/>
        </w:rPr>
        <w:t>a</w:t>
      </w:r>
      <w:proofErr w:type="spellEnd"/>
      <w:proofErr w:type="gramEnd"/>
      <w:r w:rsidRPr="00B80566">
        <w:rPr>
          <w:rFonts w:asciiTheme="minorHAnsi" w:hAnsiTheme="minorHAnsi" w:cs="Calibri"/>
          <w:sz w:val="16"/>
          <w:szCs w:val="16"/>
          <w:lang w:val="en-US"/>
        </w:rPr>
        <w:t xml:space="preserve"> Act n°78-753 of 17 July 1978 available at </w:t>
      </w:r>
      <w:hyperlink r:id="rId4" w:history="1">
        <w:r w:rsidR="00E838D5" w:rsidRPr="00E862D9">
          <w:rPr>
            <w:rStyle w:val="Lienhypertexte"/>
            <w:rFonts w:asciiTheme="minorHAnsi" w:hAnsiTheme="minorHAnsi" w:cs="Calibri"/>
            <w:sz w:val="16"/>
            <w:szCs w:val="16"/>
            <w:lang w:val="en-US"/>
          </w:rPr>
          <w:t>https://www.legifrance.gouv.fr/loda/id/JORFTEXT000000339241/2020-12-12/</w:t>
        </w:r>
      </w:hyperlink>
      <w:r w:rsidRPr="00B80566">
        <w:rPr>
          <w:rFonts w:asciiTheme="minorHAnsi" w:hAnsiTheme="minorHAnsi" w:cs="Calibri"/>
          <w:sz w:val="16"/>
          <w:szCs w:val="16"/>
          <w:lang w:val="en-US"/>
        </w:rPr>
        <w:t>.</w:t>
      </w:r>
    </w:p>
  </w:footnote>
  <w:footnote w:id="5">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rPr>
        <w:t>5</w:t>
      </w:r>
      <w:r w:rsidRPr="00B80566">
        <w:rPr>
          <w:rFonts w:asciiTheme="minorHAnsi" w:hAnsiTheme="minorHAnsi" w:cs="Calibri"/>
          <w:sz w:val="16"/>
          <w:szCs w:val="16"/>
        </w:rPr>
        <w:t xml:space="preserve"> COLIN N. &amp; VERDIER H. (2015) </w:t>
      </w:r>
      <w:r w:rsidRPr="00B80566">
        <w:rPr>
          <w:rFonts w:asciiTheme="minorHAnsi" w:hAnsiTheme="minorHAnsi" w:cs="Calibri"/>
          <w:i/>
          <w:iCs/>
          <w:sz w:val="16"/>
          <w:szCs w:val="16"/>
        </w:rPr>
        <w:t>L’âge de la multitude. Entreprendre et gouverner après la révolution numérique</w:t>
      </w:r>
      <w:r w:rsidRPr="00B80566">
        <w:rPr>
          <w:rFonts w:asciiTheme="minorHAnsi" w:hAnsiTheme="minorHAnsi" w:cs="Calibri"/>
          <w:sz w:val="16"/>
          <w:szCs w:val="16"/>
        </w:rPr>
        <w:t xml:space="preserve"> (Paris: Armand Colin).</w:t>
      </w:r>
    </w:p>
  </w:footnote>
  <w:footnote w:id="6">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6</w:t>
      </w:r>
      <w:r w:rsidRPr="00B80566">
        <w:rPr>
          <w:rFonts w:asciiTheme="minorHAnsi" w:hAnsiTheme="minorHAnsi" w:cs="Calibri"/>
          <w:sz w:val="16"/>
          <w:szCs w:val="16"/>
          <w:lang w:val="en-US"/>
        </w:rPr>
        <w:t xml:space="preserve"> The platform with a list of these “makers”: </w:t>
      </w:r>
      <w:hyperlink r:id="rId5" w:history="1">
        <w:r w:rsidR="00E838D5" w:rsidRPr="00E862D9">
          <w:rPr>
            <w:rStyle w:val="Lienhypertexte"/>
            <w:rFonts w:asciiTheme="minorHAnsi" w:hAnsiTheme="minorHAnsi" w:cs="Calibri"/>
            <w:sz w:val="16"/>
            <w:szCs w:val="16"/>
            <w:lang w:val="en-US"/>
          </w:rPr>
          <w:t>https://covid-initiatives.org/</w:t>
        </w:r>
      </w:hyperlink>
      <w:r w:rsidRPr="00B80566">
        <w:rPr>
          <w:rFonts w:asciiTheme="minorHAnsi" w:hAnsiTheme="minorHAnsi" w:cs="Calibri"/>
          <w:sz w:val="16"/>
          <w:szCs w:val="16"/>
          <w:lang w:val="en-US"/>
        </w:rPr>
        <w:t>.</w:t>
      </w:r>
    </w:p>
  </w:footnote>
  <w:footnote w:id="7">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b/>
          <w:bCs/>
          <w:sz w:val="16"/>
          <w:szCs w:val="16"/>
          <w:vertAlign w:val="superscript"/>
          <w:lang w:val="en-US"/>
        </w:rPr>
        <w:t>7</w:t>
      </w:r>
      <w:r w:rsidRPr="00B80566">
        <w:rPr>
          <w:rFonts w:asciiTheme="minorHAnsi" w:hAnsiTheme="minorHAnsi" w:cs="Calibri"/>
          <w:sz w:val="16"/>
          <w:szCs w:val="16"/>
          <w:lang w:val="en-US"/>
        </w:rPr>
        <w:t xml:space="preserve"> Partnership between La Poste, IGN (</w:t>
      </w:r>
      <w:proofErr w:type="spellStart"/>
      <w:r w:rsidRPr="00B80566">
        <w:rPr>
          <w:rFonts w:asciiTheme="minorHAnsi" w:hAnsiTheme="minorHAnsi" w:cs="Calibri"/>
          <w:sz w:val="16"/>
          <w:szCs w:val="16"/>
          <w:lang w:val="en-US"/>
        </w:rPr>
        <w:t>Institut</w:t>
      </w:r>
      <w:proofErr w:type="spellEnd"/>
      <w:r w:rsidRPr="00B80566">
        <w:rPr>
          <w:rFonts w:asciiTheme="minorHAnsi" w:hAnsiTheme="minorHAnsi" w:cs="Calibri"/>
          <w:sz w:val="16"/>
          <w:szCs w:val="16"/>
          <w:lang w:val="en-US"/>
        </w:rPr>
        <w:t xml:space="preserve"> National de </w:t>
      </w:r>
      <w:proofErr w:type="spellStart"/>
      <w:r w:rsidRPr="00B80566">
        <w:rPr>
          <w:rFonts w:asciiTheme="minorHAnsi" w:hAnsiTheme="minorHAnsi" w:cs="Calibri"/>
          <w:sz w:val="16"/>
          <w:szCs w:val="16"/>
          <w:lang w:val="en-US"/>
        </w:rPr>
        <w:t>l’Information</w:t>
      </w:r>
      <w:proofErr w:type="spellEnd"/>
      <w:r w:rsidRPr="00B80566">
        <w:rPr>
          <w:rFonts w:asciiTheme="minorHAnsi" w:hAnsiTheme="minorHAnsi" w:cs="Calibri"/>
          <w:sz w:val="16"/>
          <w:szCs w:val="16"/>
          <w:lang w:val="en-US"/>
        </w:rPr>
        <w:t xml:space="preserve"> </w:t>
      </w:r>
      <w:proofErr w:type="spellStart"/>
      <w:r w:rsidRPr="00B80566">
        <w:rPr>
          <w:rFonts w:asciiTheme="minorHAnsi" w:hAnsiTheme="minorHAnsi" w:cs="Calibri"/>
          <w:sz w:val="16"/>
          <w:szCs w:val="16"/>
          <w:lang w:val="en-US"/>
        </w:rPr>
        <w:t>Géographique</w:t>
      </w:r>
      <w:proofErr w:type="spellEnd"/>
      <w:r w:rsidRPr="00B80566">
        <w:rPr>
          <w:rFonts w:asciiTheme="minorHAnsi" w:hAnsiTheme="minorHAnsi" w:cs="Calibri"/>
          <w:sz w:val="16"/>
          <w:szCs w:val="16"/>
          <w:lang w:val="en-US"/>
        </w:rPr>
        <w:t xml:space="preserve"> </w:t>
      </w:r>
      <w:proofErr w:type="gramStart"/>
      <w:r w:rsidRPr="00B80566">
        <w:rPr>
          <w:rFonts w:asciiTheme="minorHAnsi" w:hAnsiTheme="minorHAnsi" w:cs="Calibri"/>
          <w:sz w:val="16"/>
          <w:szCs w:val="16"/>
          <w:lang w:val="en-US"/>
        </w:rPr>
        <w:t>et</w:t>
      </w:r>
      <w:proofErr w:type="gramEnd"/>
      <w:r w:rsidRPr="00B80566">
        <w:rPr>
          <w:rFonts w:asciiTheme="minorHAnsi" w:hAnsiTheme="minorHAnsi" w:cs="Calibri"/>
          <w:sz w:val="16"/>
          <w:szCs w:val="16"/>
          <w:lang w:val="en-US"/>
        </w:rPr>
        <w:t xml:space="preserve"> </w:t>
      </w:r>
      <w:proofErr w:type="spellStart"/>
      <w:r w:rsidRPr="00B80566">
        <w:rPr>
          <w:rFonts w:asciiTheme="minorHAnsi" w:hAnsiTheme="minorHAnsi" w:cs="Calibri"/>
          <w:sz w:val="16"/>
          <w:szCs w:val="16"/>
          <w:lang w:val="en-US"/>
        </w:rPr>
        <w:t>Forestière</w:t>
      </w:r>
      <w:proofErr w:type="spellEnd"/>
      <w:r w:rsidRPr="00B80566">
        <w:rPr>
          <w:rFonts w:asciiTheme="minorHAnsi" w:hAnsiTheme="minorHAnsi" w:cs="Calibri"/>
          <w:sz w:val="16"/>
          <w:szCs w:val="16"/>
          <w:lang w:val="en-US"/>
        </w:rPr>
        <w:t xml:space="preserve">), the state (in particular the Direction </w:t>
      </w:r>
      <w:proofErr w:type="spellStart"/>
      <w:r w:rsidRPr="00B80566">
        <w:rPr>
          <w:rFonts w:asciiTheme="minorHAnsi" w:hAnsiTheme="minorHAnsi" w:cs="Calibri"/>
          <w:sz w:val="16"/>
          <w:szCs w:val="16"/>
          <w:lang w:val="en-US"/>
        </w:rPr>
        <w:t>Générale</w:t>
      </w:r>
      <w:proofErr w:type="spellEnd"/>
      <w:r w:rsidRPr="00B80566">
        <w:rPr>
          <w:rFonts w:asciiTheme="minorHAnsi" w:hAnsiTheme="minorHAnsi" w:cs="Calibri"/>
          <w:sz w:val="16"/>
          <w:szCs w:val="16"/>
          <w:lang w:val="en-US"/>
        </w:rPr>
        <w:t xml:space="preserve"> des Finances </w:t>
      </w:r>
      <w:proofErr w:type="spellStart"/>
      <w:r w:rsidRPr="00B80566">
        <w:rPr>
          <w:rFonts w:asciiTheme="minorHAnsi" w:hAnsiTheme="minorHAnsi" w:cs="Calibri"/>
          <w:sz w:val="16"/>
          <w:szCs w:val="16"/>
          <w:lang w:val="en-US"/>
        </w:rPr>
        <w:t>Publiques</w:t>
      </w:r>
      <w:proofErr w:type="spellEnd"/>
      <w:r w:rsidRPr="00B80566">
        <w:rPr>
          <w:rFonts w:asciiTheme="minorHAnsi" w:hAnsiTheme="minorHAnsi" w:cs="Calibri"/>
          <w:sz w:val="16"/>
          <w:szCs w:val="16"/>
          <w:lang w:val="en-US"/>
        </w:rPr>
        <w:t xml:space="preserve">) and the association </w:t>
      </w:r>
      <w:proofErr w:type="spellStart"/>
      <w:r w:rsidRPr="00B80566">
        <w:rPr>
          <w:rFonts w:asciiTheme="minorHAnsi" w:hAnsiTheme="minorHAnsi" w:cs="Calibri"/>
          <w:sz w:val="16"/>
          <w:szCs w:val="16"/>
          <w:lang w:val="en-US"/>
        </w:rPr>
        <w:t>OpenStreetMap</w:t>
      </w:r>
      <w:proofErr w:type="spellEnd"/>
      <w:r w:rsidRPr="00B80566">
        <w:rPr>
          <w:rFonts w:asciiTheme="minorHAnsi" w:hAnsiTheme="minorHAnsi" w:cs="Calibri"/>
          <w:sz w:val="16"/>
          <w:szCs w:val="16"/>
          <w:lang w:val="en-US"/>
        </w:rPr>
        <w:t xml:space="preserve"> France. See: </w:t>
      </w:r>
      <w:hyperlink r:id="rId6" w:history="1">
        <w:r w:rsidR="00E838D5" w:rsidRPr="00E862D9">
          <w:rPr>
            <w:rStyle w:val="Lienhypertexte"/>
            <w:rFonts w:asciiTheme="minorHAnsi" w:hAnsiTheme="minorHAnsi" w:cs="Calibri"/>
            <w:spacing w:val="-2"/>
            <w:sz w:val="16"/>
            <w:szCs w:val="16"/>
            <w:lang w:val="en-US"/>
          </w:rPr>
          <w:t>https://www.etalab.gouv.fr/acteurs-publics-et-societe-civile-sassocient-pour-la-constitution-dune-base-adresse-nationale-ban-collaborative</w:t>
        </w:r>
      </w:hyperlink>
    </w:p>
  </w:footnote>
  <w:footnote w:id="8">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8</w:t>
      </w:r>
      <w:r w:rsidRPr="00B80566">
        <w:rPr>
          <w:rFonts w:asciiTheme="minorHAnsi" w:hAnsiTheme="minorHAnsi" w:cs="Calibri"/>
          <w:sz w:val="16"/>
          <w:szCs w:val="16"/>
          <w:lang w:val="en-US"/>
        </w:rPr>
        <w:t xml:space="preserve"> </w:t>
      </w:r>
      <w:hyperlink r:id="rId7" w:history="1">
        <w:r w:rsidR="00E838D5" w:rsidRPr="00E862D9">
          <w:rPr>
            <w:rStyle w:val="Lienhypertexte"/>
            <w:rFonts w:asciiTheme="minorHAnsi" w:hAnsiTheme="minorHAnsi" w:cs="Calibri"/>
            <w:sz w:val="16"/>
            <w:szCs w:val="16"/>
            <w:lang w:val="en-US"/>
          </w:rPr>
          <w:t>https://www.dailymotion.com/video/x4fdfed</w:t>
        </w:r>
      </w:hyperlink>
      <w:r w:rsidRPr="00B80566">
        <w:rPr>
          <w:rFonts w:asciiTheme="minorHAnsi" w:hAnsiTheme="minorHAnsi" w:cs="Calibri"/>
          <w:sz w:val="16"/>
          <w:szCs w:val="16"/>
          <w:lang w:val="en-US"/>
        </w:rPr>
        <w:t xml:space="preserve"> </w:t>
      </w:r>
    </w:p>
  </w:footnote>
  <w:footnote w:id="9">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9</w:t>
      </w:r>
      <w:r w:rsidRPr="00B80566">
        <w:rPr>
          <w:rFonts w:asciiTheme="minorHAnsi" w:hAnsiTheme="minorHAnsi" w:cs="Calibri"/>
          <w:sz w:val="16"/>
          <w:szCs w:val="16"/>
          <w:lang w:val="en-US"/>
        </w:rPr>
        <w:t xml:space="preserve"> For the tools used, see </w:t>
      </w:r>
      <w:hyperlink r:id="rId8" w:history="1">
        <w:r w:rsidR="00E838D5" w:rsidRPr="00E862D9">
          <w:rPr>
            <w:rStyle w:val="Lienhypertexte"/>
            <w:rFonts w:asciiTheme="minorHAnsi" w:hAnsiTheme="minorHAnsi" w:cs="Calibri"/>
            <w:sz w:val="16"/>
            <w:szCs w:val="16"/>
            <w:lang w:val="en-US"/>
          </w:rPr>
          <w:t>https://doc.eig-forever.org/</w:t>
        </w:r>
      </w:hyperlink>
      <w:r w:rsidRPr="00B80566">
        <w:rPr>
          <w:rFonts w:asciiTheme="minorHAnsi" w:hAnsiTheme="minorHAnsi" w:cs="Calibri"/>
          <w:sz w:val="16"/>
          <w:szCs w:val="16"/>
          <w:lang w:val="en-US"/>
        </w:rPr>
        <w:t>.</w:t>
      </w:r>
    </w:p>
  </w:footnote>
  <w:footnote w:id="10">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10</w:t>
      </w:r>
      <w:r w:rsidRPr="00B80566">
        <w:rPr>
          <w:rFonts w:asciiTheme="minorHAnsi" w:hAnsiTheme="minorHAnsi" w:cs="Calibri"/>
          <w:sz w:val="16"/>
          <w:szCs w:val="16"/>
          <w:lang w:val="en-US"/>
        </w:rPr>
        <w:t xml:space="preserve"> The depository of source codes of EIG projects is </w:t>
      </w:r>
      <w:hyperlink r:id="rId9" w:history="1">
        <w:r w:rsidR="000D7D8C" w:rsidRPr="00E862D9">
          <w:rPr>
            <w:rStyle w:val="Lienhypertexte"/>
            <w:rFonts w:asciiTheme="minorHAnsi" w:hAnsiTheme="minorHAnsi" w:cs="Calibri"/>
            <w:sz w:val="16"/>
            <w:szCs w:val="16"/>
            <w:lang w:val="en-US"/>
          </w:rPr>
          <w:t>https://github.com/entrepreneur-interet-general/</w:t>
        </w:r>
      </w:hyperlink>
      <w:r w:rsidRPr="00B80566">
        <w:rPr>
          <w:rFonts w:asciiTheme="minorHAnsi" w:hAnsiTheme="minorHAnsi" w:cs="Calibri"/>
          <w:sz w:val="16"/>
          <w:szCs w:val="16"/>
          <w:lang w:val="en-US"/>
        </w:rPr>
        <w:t>.</w:t>
      </w:r>
    </w:p>
  </w:footnote>
  <w:footnote w:id="11">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rPr>
        <w:t>11</w:t>
      </w:r>
      <w:r w:rsidRPr="00B80566">
        <w:rPr>
          <w:rFonts w:asciiTheme="minorHAnsi" w:hAnsiTheme="minorHAnsi" w:cs="Calibri"/>
          <w:sz w:val="16"/>
          <w:szCs w:val="16"/>
        </w:rPr>
        <w:t xml:space="preserve"> Léon (</w:t>
      </w:r>
      <w:r w:rsidRPr="00B80566">
        <w:rPr>
          <w:rFonts w:asciiTheme="minorHAnsi" w:hAnsiTheme="minorHAnsi" w:cs="Calibri"/>
          <w:i/>
          <w:iCs/>
          <w:sz w:val="16"/>
          <w:szCs w:val="16"/>
        </w:rPr>
        <w:t>les entrepreneurs ouverts du numérique</w:t>
      </w:r>
      <w:r w:rsidRPr="00B80566">
        <w:rPr>
          <w:rFonts w:asciiTheme="minorHAnsi" w:hAnsiTheme="minorHAnsi" w:cs="Calibri"/>
          <w:sz w:val="16"/>
          <w:szCs w:val="16"/>
        </w:rPr>
        <w:t xml:space="preserve">): </w:t>
      </w:r>
      <w:hyperlink r:id="rId10" w:history="1">
        <w:r w:rsidR="00E838D5" w:rsidRPr="00E862D9">
          <w:rPr>
            <w:rStyle w:val="Lienhypertexte"/>
            <w:rFonts w:asciiTheme="minorHAnsi" w:hAnsiTheme="minorHAnsi" w:cs="Calibri"/>
            <w:sz w:val="16"/>
            <w:szCs w:val="16"/>
          </w:rPr>
          <w:t>https://entrepreneur-interet-general.etalab.gouv.fr/</w:t>
        </w:r>
      </w:hyperlink>
      <w:r w:rsidRPr="00B80566">
        <w:rPr>
          <w:rFonts w:asciiTheme="minorHAnsi" w:hAnsiTheme="minorHAnsi" w:cs="Calibri"/>
          <w:sz w:val="16"/>
          <w:szCs w:val="16"/>
        </w:rPr>
        <w:t xml:space="preserve">. </w:t>
      </w:r>
      <w:r w:rsidRPr="00B80566">
        <w:rPr>
          <w:rFonts w:asciiTheme="minorHAnsi" w:hAnsiTheme="minorHAnsi" w:cs="Calibri"/>
          <w:sz w:val="16"/>
          <w:szCs w:val="16"/>
          <w:lang w:val="en-US"/>
        </w:rPr>
        <w:t xml:space="preserve">Several blogs describe the involvement of the digital community and associations, such as </w:t>
      </w:r>
      <w:proofErr w:type="spellStart"/>
      <w:r w:rsidRPr="00B80566">
        <w:rPr>
          <w:rFonts w:asciiTheme="minorHAnsi" w:hAnsiTheme="minorHAnsi" w:cs="Calibri"/>
          <w:sz w:val="16"/>
          <w:szCs w:val="16"/>
          <w:lang w:val="en-US"/>
        </w:rPr>
        <w:t>Wikimédia</w:t>
      </w:r>
      <w:proofErr w:type="spellEnd"/>
      <w:r w:rsidRPr="00B80566">
        <w:rPr>
          <w:rFonts w:asciiTheme="minorHAnsi" w:hAnsiTheme="minorHAnsi" w:cs="Calibri"/>
          <w:sz w:val="16"/>
          <w:szCs w:val="16"/>
          <w:lang w:val="en-US"/>
        </w:rPr>
        <w:t xml:space="preserve"> France: </w:t>
      </w:r>
      <w:hyperlink r:id="rId11" w:history="1">
        <w:r w:rsidR="00E838D5" w:rsidRPr="00E862D9">
          <w:rPr>
            <w:rStyle w:val="Lienhypertexte"/>
            <w:rFonts w:asciiTheme="minorHAnsi" w:hAnsiTheme="minorHAnsi" w:cs="Calibri"/>
            <w:sz w:val="16"/>
            <w:szCs w:val="16"/>
            <w:lang w:val="en-US"/>
          </w:rPr>
          <w:t>https://entrepreneur-interet-general.etalab.gouv.fr/blog/2018/10/12/retour-sur-atelier-wikipedia-au-mobilier-national.html</w:t>
        </w:r>
      </w:hyperlink>
      <w:r w:rsidRPr="00B80566">
        <w:rPr>
          <w:rFonts w:asciiTheme="minorHAnsi" w:hAnsiTheme="minorHAnsi" w:cs="Calibri"/>
          <w:sz w:val="16"/>
          <w:szCs w:val="16"/>
          <w:lang w:val="en-US"/>
        </w:rPr>
        <w:t xml:space="preserve">. </w:t>
      </w:r>
    </w:p>
  </w:footnote>
  <w:footnote w:id="12">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12</w:t>
      </w:r>
      <w:r w:rsidRPr="00B80566">
        <w:rPr>
          <w:rFonts w:asciiTheme="minorHAnsi" w:hAnsiTheme="minorHAnsi" w:cs="Calibri"/>
          <w:sz w:val="16"/>
          <w:szCs w:val="16"/>
          <w:lang w:val="en-US"/>
        </w:rPr>
        <w:t xml:space="preserve"> Evidence of this being </w:t>
      </w:r>
      <w:proofErr w:type="spellStart"/>
      <w:r w:rsidRPr="00B80566">
        <w:rPr>
          <w:rFonts w:asciiTheme="minorHAnsi" w:hAnsiTheme="minorHAnsi" w:cs="Calibri"/>
          <w:sz w:val="16"/>
          <w:szCs w:val="16"/>
          <w:lang w:val="en-US"/>
        </w:rPr>
        <w:t>PIAFAgent</w:t>
      </w:r>
      <w:proofErr w:type="spellEnd"/>
      <w:r w:rsidRPr="00B80566">
        <w:rPr>
          <w:rFonts w:asciiTheme="minorHAnsi" w:hAnsiTheme="minorHAnsi" w:cs="Calibri"/>
          <w:sz w:val="16"/>
          <w:szCs w:val="16"/>
          <w:lang w:val="en-US"/>
        </w:rPr>
        <w:t xml:space="preserve">, software for a question-answer robot for public agents: </w:t>
      </w:r>
      <w:hyperlink r:id="rId12" w:history="1">
        <w:r w:rsidR="00E838D5" w:rsidRPr="00E862D9">
          <w:rPr>
            <w:rStyle w:val="Lienhypertexte"/>
            <w:rFonts w:asciiTheme="minorHAnsi" w:hAnsiTheme="minorHAnsi" w:cs="Calibri"/>
            <w:sz w:val="16"/>
            <w:szCs w:val="16"/>
            <w:lang w:val="en-US"/>
          </w:rPr>
          <w:t>https://piaf.etalab.studio/application-piaf/</w:t>
        </w:r>
      </w:hyperlink>
      <w:r w:rsidRPr="00B80566">
        <w:rPr>
          <w:rFonts w:asciiTheme="minorHAnsi" w:hAnsiTheme="minorHAnsi" w:cs="Calibri"/>
          <w:sz w:val="16"/>
          <w:szCs w:val="16"/>
          <w:lang w:val="en-US"/>
        </w:rPr>
        <w:t>.</w:t>
      </w:r>
    </w:p>
  </w:footnote>
  <w:footnote w:id="13">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13</w:t>
      </w:r>
      <w:r w:rsidRPr="00B80566">
        <w:rPr>
          <w:rFonts w:asciiTheme="minorHAnsi" w:hAnsiTheme="minorHAnsi" w:cs="Calibri"/>
          <w:sz w:val="16"/>
          <w:szCs w:val="16"/>
          <w:lang w:val="en-US"/>
        </w:rPr>
        <w:t xml:space="preserve"> </w:t>
      </w:r>
      <w:hyperlink r:id="rId13" w:history="1">
        <w:r w:rsidR="00E838D5" w:rsidRPr="00E862D9">
          <w:rPr>
            <w:rStyle w:val="Lienhypertexte"/>
            <w:rFonts w:asciiTheme="minorHAnsi" w:hAnsiTheme="minorHAnsi" w:cs="Calibri"/>
            <w:sz w:val="16"/>
            <w:szCs w:val="16"/>
            <w:lang w:val="en-US"/>
          </w:rPr>
          <w:t>https://piaf.etalab.studio/fin</w:t>
        </w:r>
      </w:hyperlink>
    </w:p>
  </w:footnote>
  <w:footnote w:id="14">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14</w:t>
      </w:r>
      <w:r w:rsidRPr="00B80566">
        <w:rPr>
          <w:rFonts w:asciiTheme="minorHAnsi" w:hAnsiTheme="minorHAnsi" w:cs="Calibri"/>
          <w:sz w:val="16"/>
          <w:szCs w:val="16"/>
          <w:lang w:val="en-US"/>
        </w:rPr>
        <w:t xml:space="preserve"> See the blog on </w:t>
      </w:r>
      <w:hyperlink r:id="rId14" w:history="1">
        <w:r w:rsidR="00E838D5" w:rsidRPr="00E862D9">
          <w:rPr>
            <w:rStyle w:val="Lienhypertexte"/>
            <w:rFonts w:asciiTheme="minorHAnsi" w:hAnsiTheme="minorHAnsi" w:cs="Calibri"/>
            <w:sz w:val="16"/>
            <w:szCs w:val="16"/>
            <w:lang w:val="en-US"/>
          </w:rPr>
          <w:t>https://piaf.etalab.studio/enseignements-contributions/</w:t>
        </w:r>
      </w:hyperlink>
      <w:r w:rsidRPr="00B80566">
        <w:rPr>
          <w:rFonts w:asciiTheme="minorHAnsi" w:hAnsiTheme="minorHAnsi" w:cs="Calibri"/>
          <w:sz w:val="16"/>
          <w:szCs w:val="16"/>
          <w:lang w:val="en-US"/>
        </w:rPr>
        <w:t xml:space="preserve">. </w:t>
      </w:r>
      <w:r w:rsidRPr="00B80566">
        <w:rPr>
          <w:rFonts w:asciiTheme="minorHAnsi" w:hAnsiTheme="minorHAnsi" w:cs="Calibri"/>
          <w:sz w:val="16"/>
          <w:szCs w:val="16"/>
          <w:u w:val="single" w:color="C00000"/>
          <w:lang w:val="en-US"/>
        </w:rPr>
        <w:t xml:space="preserve">This project resulted in a publication for the 12th Language Resources and Evaluation Conference in 2020: KERARON R., LANCRENON G., BRAS M., ALLARY F., MOYSE G., SCIALOM T., SORIANO-MORALES E.P., &amp; STAIANO J. (2020) “Project PIAF: Building a native French question-answering dataset”, </w:t>
      </w:r>
      <w:r w:rsidRPr="00B80566">
        <w:rPr>
          <w:rFonts w:asciiTheme="minorHAnsi" w:hAnsiTheme="minorHAnsi" w:cs="Calibri"/>
          <w:i/>
          <w:iCs/>
          <w:sz w:val="16"/>
          <w:szCs w:val="16"/>
          <w:u w:val="single" w:color="C00000"/>
          <w:lang w:val="en-US"/>
        </w:rPr>
        <w:t>Proceedings of the 12th Language Resources and Evaluation Conference</w:t>
      </w:r>
      <w:r w:rsidRPr="00B80566">
        <w:rPr>
          <w:rFonts w:asciiTheme="minorHAnsi" w:hAnsiTheme="minorHAnsi" w:cs="Calibri"/>
          <w:sz w:val="16"/>
          <w:szCs w:val="16"/>
          <w:u w:val="single" w:color="C00000"/>
          <w:lang w:val="en-US"/>
        </w:rPr>
        <w:t>, available at</w:t>
      </w:r>
      <w:r w:rsidRPr="00B80566">
        <w:rPr>
          <w:rFonts w:asciiTheme="minorHAnsi" w:hAnsiTheme="minorHAnsi" w:cs="Calibri"/>
          <w:sz w:val="16"/>
          <w:szCs w:val="16"/>
          <w:lang w:val="en-US"/>
        </w:rPr>
        <w:t xml:space="preserve"> </w:t>
      </w:r>
      <w:hyperlink r:id="rId15" w:history="1">
        <w:r w:rsidR="00E838D5" w:rsidRPr="00E862D9">
          <w:rPr>
            <w:rStyle w:val="Lienhypertexte"/>
            <w:rFonts w:asciiTheme="minorHAnsi" w:hAnsiTheme="minorHAnsi" w:cs="Calibri"/>
            <w:sz w:val="16"/>
            <w:szCs w:val="16"/>
            <w:lang w:val="en-US"/>
          </w:rPr>
          <w:t>https://www.aclweb.org/anthology/2020.lrec-1.673/</w:t>
        </w:r>
      </w:hyperlink>
      <w:r w:rsidRPr="00B80566">
        <w:rPr>
          <w:rFonts w:asciiTheme="minorHAnsi" w:hAnsiTheme="minorHAnsi" w:cs="Calibri"/>
          <w:sz w:val="16"/>
          <w:szCs w:val="16"/>
          <w:lang w:val="en-US"/>
        </w:rPr>
        <w:t>.</w:t>
      </w:r>
    </w:p>
  </w:footnote>
  <w:footnote w:id="15">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15</w:t>
      </w:r>
      <w:r w:rsidRPr="00B80566">
        <w:rPr>
          <w:rFonts w:asciiTheme="minorHAnsi" w:hAnsiTheme="minorHAnsi" w:cs="Calibri"/>
          <w:sz w:val="16"/>
          <w:szCs w:val="16"/>
          <w:lang w:val="en-US"/>
        </w:rPr>
        <w:t xml:space="preserve"> </w:t>
      </w:r>
      <w:r w:rsidRPr="00B80566">
        <w:rPr>
          <w:rFonts w:asciiTheme="minorHAnsi" w:hAnsiTheme="minorHAnsi" w:cs="Calibri"/>
          <w:sz w:val="16"/>
          <w:szCs w:val="16"/>
          <w:u w:val="single" w:color="C00000"/>
          <w:lang w:val="en-US"/>
        </w:rPr>
        <w:t xml:space="preserve">For the list of themes, see </w:t>
      </w:r>
      <w:hyperlink r:id="rId16" w:history="1">
        <w:r w:rsidR="00E838D5" w:rsidRPr="00E862D9">
          <w:rPr>
            <w:rStyle w:val="Lienhypertexte"/>
            <w:rFonts w:asciiTheme="minorHAnsi" w:hAnsiTheme="minorHAnsi" w:cs="Calibri"/>
            <w:sz w:val="16"/>
            <w:szCs w:val="16"/>
            <w:u w:color="C00000"/>
            <w:lang w:val="en-US"/>
          </w:rPr>
          <w:t>https://wiki.lafabriquedesmobilites.fr/wiki/Communs</w:t>
        </w:r>
      </w:hyperlink>
      <w:r w:rsidRPr="00B80566">
        <w:rPr>
          <w:rFonts w:asciiTheme="minorHAnsi" w:hAnsiTheme="minorHAnsi" w:cs="Calibri"/>
          <w:sz w:val="16"/>
          <w:szCs w:val="16"/>
          <w:u w:val="single" w:color="C00000"/>
          <w:lang w:val="en-US"/>
        </w:rPr>
        <w:t>.</w:t>
      </w:r>
    </w:p>
  </w:footnote>
  <w:footnote w:id="16">
    <w:p w:rsidR="0004153D" w:rsidRDefault="0064053C" w:rsidP="00B80566">
      <w:pPr>
        <w:widowControl/>
        <w:tabs>
          <w:tab w:val="left" w:pos="-850"/>
          <w:tab w:val="left" w:pos="0"/>
          <w:tab w:val="left" w:pos="568"/>
          <w:tab w:val="left" w:pos="851"/>
          <w:tab w:val="left" w:pos="1417"/>
          <w:tab w:val="left" w:pos="2268"/>
          <w:tab w:val="left" w:pos="3402"/>
          <w:tab w:val="left" w:pos="4536"/>
          <w:tab w:val="left" w:pos="5670"/>
          <w:tab w:val="left" w:pos="6804"/>
          <w:tab w:val="left" w:pos="7654"/>
          <w:tab w:val="left" w:pos="8221"/>
          <w:tab w:val="left" w:pos="8504"/>
          <w:tab w:val="left" w:pos="9072"/>
        </w:tabs>
        <w:suppressAutoHyphens/>
        <w:spacing w:after="60"/>
      </w:pPr>
      <w:r w:rsidRPr="00B80566">
        <w:rPr>
          <w:rFonts w:asciiTheme="minorHAnsi" w:hAnsiTheme="minorHAnsi" w:cs="Calibri"/>
          <w:sz w:val="16"/>
          <w:szCs w:val="16"/>
          <w:vertAlign w:val="superscript"/>
          <w:lang w:val="en-US"/>
        </w:rPr>
        <w:t>16</w:t>
      </w:r>
      <w:r w:rsidRPr="00B80566">
        <w:rPr>
          <w:rFonts w:asciiTheme="minorHAnsi" w:hAnsiTheme="minorHAnsi" w:cs="Calibri"/>
          <w:sz w:val="16"/>
          <w:szCs w:val="16"/>
          <w:lang w:val="en-US"/>
        </w:rPr>
        <w:t xml:space="preserve"> Respectively: </w:t>
      </w:r>
      <w:hyperlink r:id="rId17" w:history="1">
        <w:r w:rsidR="00E838D5" w:rsidRPr="00E862D9">
          <w:rPr>
            <w:rStyle w:val="Lienhypertexte"/>
            <w:rFonts w:asciiTheme="minorHAnsi" w:hAnsiTheme="minorHAnsi" w:cs="Calibri"/>
            <w:sz w:val="16"/>
            <w:szCs w:val="16"/>
            <w:lang w:val="en-US"/>
          </w:rPr>
          <w:t>https://wiki.lafabriquedesmobilites.fr/wiki/Preuve_de_covoiturage</w:t>
        </w:r>
      </w:hyperlink>
      <w:r w:rsidRPr="00B80566">
        <w:rPr>
          <w:rFonts w:asciiTheme="minorHAnsi" w:hAnsiTheme="minorHAnsi" w:cs="Calibri"/>
          <w:sz w:val="16"/>
          <w:szCs w:val="16"/>
          <w:lang w:val="en-US"/>
        </w:rPr>
        <w:t xml:space="preserve"> &amp; </w:t>
      </w:r>
      <w:hyperlink r:id="rId18" w:history="1">
        <w:r w:rsidR="00E838D5" w:rsidRPr="00E862D9">
          <w:rPr>
            <w:rStyle w:val="Lienhypertexte"/>
            <w:rFonts w:asciiTheme="minorHAnsi" w:hAnsiTheme="minorHAnsi" w:cs="Calibri"/>
            <w:sz w:val="16"/>
            <w:szCs w:val="16"/>
            <w:lang w:val="en-US"/>
          </w:rPr>
          <w:t>https://wiki.lafabriquedesmobilites.fr/wiki/Mon_Compte_Mobilit%C3%A9</w:t>
        </w:r>
      </w:hyperlink>
      <w:r w:rsidRPr="00B80566">
        <w:rPr>
          <w:rFonts w:asciiTheme="minorHAnsi" w:hAnsiTheme="minorHAnsi" w:cs="Calibri"/>
          <w:sz w:val="16"/>
          <w:szCs w:val="16"/>
          <w:lang w:val="en-U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hyphenationZone w:val="8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6D9"/>
    <w:rsid w:val="0004153D"/>
    <w:rsid w:val="000D7D8C"/>
    <w:rsid w:val="001D1261"/>
    <w:rsid w:val="00253F2D"/>
    <w:rsid w:val="00394257"/>
    <w:rsid w:val="005C04DB"/>
    <w:rsid w:val="0064053C"/>
    <w:rsid w:val="00800D88"/>
    <w:rsid w:val="00820E19"/>
    <w:rsid w:val="008E1F5F"/>
    <w:rsid w:val="00A82E20"/>
    <w:rsid w:val="00A946D9"/>
    <w:rsid w:val="00B80566"/>
    <w:rsid w:val="00BD199A"/>
    <w:rsid w:val="00BD62DD"/>
    <w:rsid w:val="00C21205"/>
    <w:rsid w:val="00C53530"/>
    <w:rsid w:val="00D0292F"/>
    <w:rsid w:val="00E838D5"/>
    <w:rsid w:val="00E862D9"/>
    <w:rsid w:val="00F708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1">
    <w:name w:val="Level 1"/>
    <w:uiPriority w:val="99"/>
    <w:pPr>
      <w:widowControl w:val="0"/>
      <w:autoSpaceDE w:val="0"/>
      <w:autoSpaceDN w:val="0"/>
      <w:adjustRightInd w:val="0"/>
      <w:spacing w:after="0" w:line="240" w:lineRule="auto"/>
      <w:ind w:left="720"/>
      <w:jc w:val="both"/>
    </w:pPr>
    <w:rPr>
      <w:rFonts w:ascii="Arial" w:hAnsi="Arial" w:cs="Arial"/>
      <w:sz w:val="24"/>
      <w:szCs w:val="24"/>
    </w:rPr>
  </w:style>
  <w:style w:type="paragraph" w:customStyle="1" w:styleId="Level2">
    <w:name w:val="Level 2"/>
    <w:uiPriority w:val="99"/>
    <w:pPr>
      <w:widowControl w:val="0"/>
      <w:autoSpaceDE w:val="0"/>
      <w:autoSpaceDN w:val="0"/>
      <w:adjustRightInd w:val="0"/>
      <w:spacing w:after="0" w:line="240" w:lineRule="auto"/>
      <w:ind w:left="1440"/>
      <w:jc w:val="both"/>
    </w:pPr>
    <w:rPr>
      <w:rFonts w:ascii="Arial" w:hAnsi="Arial" w:cs="Arial"/>
      <w:sz w:val="24"/>
      <w:szCs w:val="24"/>
    </w:rPr>
  </w:style>
  <w:style w:type="paragraph" w:customStyle="1" w:styleId="Level3">
    <w:name w:val="Level 3"/>
    <w:uiPriority w:val="99"/>
    <w:pPr>
      <w:widowControl w:val="0"/>
      <w:autoSpaceDE w:val="0"/>
      <w:autoSpaceDN w:val="0"/>
      <w:adjustRightInd w:val="0"/>
      <w:spacing w:after="0" w:line="240" w:lineRule="auto"/>
      <w:ind w:left="2160"/>
      <w:jc w:val="both"/>
    </w:pPr>
    <w:rPr>
      <w:rFonts w:ascii="Arial" w:hAnsi="Arial" w:cs="Arial"/>
      <w:sz w:val="24"/>
      <w:szCs w:val="24"/>
    </w:rPr>
  </w:style>
  <w:style w:type="paragraph" w:customStyle="1" w:styleId="Level4">
    <w:name w:val="Level 4"/>
    <w:uiPriority w:val="99"/>
    <w:pPr>
      <w:widowControl w:val="0"/>
      <w:autoSpaceDE w:val="0"/>
      <w:autoSpaceDN w:val="0"/>
      <w:adjustRightInd w:val="0"/>
      <w:spacing w:after="0" w:line="240" w:lineRule="auto"/>
      <w:ind w:left="3600"/>
      <w:jc w:val="both"/>
    </w:pPr>
    <w:rPr>
      <w:rFonts w:ascii="Arial" w:hAnsi="Arial" w:cs="Arial"/>
      <w:sz w:val="24"/>
      <w:szCs w:val="24"/>
    </w:rPr>
  </w:style>
  <w:style w:type="paragraph" w:customStyle="1" w:styleId="Level5">
    <w:name w:val="Level 5"/>
    <w:uiPriority w:val="99"/>
    <w:pPr>
      <w:widowControl w:val="0"/>
      <w:autoSpaceDE w:val="0"/>
      <w:autoSpaceDN w:val="0"/>
      <w:adjustRightInd w:val="0"/>
      <w:spacing w:after="0" w:line="240" w:lineRule="auto"/>
      <w:ind w:left="4320"/>
      <w:jc w:val="both"/>
    </w:pPr>
    <w:rPr>
      <w:rFonts w:ascii="Arial" w:hAnsi="Arial" w:cs="Arial"/>
      <w:sz w:val="24"/>
      <w:szCs w:val="24"/>
    </w:rPr>
  </w:style>
  <w:style w:type="paragraph" w:customStyle="1" w:styleId="Level6">
    <w:name w:val="Level 6"/>
    <w:uiPriority w:val="99"/>
    <w:pPr>
      <w:widowControl w:val="0"/>
      <w:autoSpaceDE w:val="0"/>
      <w:autoSpaceDN w:val="0"/>
      <w:adjustRightInd w:val="0"/>
      <w:spacing w:after="0" w:line="240" w:lineRule="auto"/>
      <w:ind w:left="-1440"/>
      <w:jc w:val="both"/>
    </w:pPr>
    <w:rPr>
      <w:rFonts w:ascii="Arial" w:hAnsi="Arial" w:cs="Arial"/>
      <w:sz w:val="24"/>
      <w:szCs w:val="24"/>
    </w:rPr>
  </w:style>
  <w:style w:type="paragraph" w:customStyle="1" w:styleId="Level7">
    <w:name w:val="Level 7"/>
    <w:uiPriority w:val="99"/>
    <w:pPr>
      <w:widowControl w:val="0"/>
      <w:autoSpaceDE w:val="0"/>
      <w:autoSpaceDN w:val="0"/>
      <w:adjustRightInd w:val="0"/>
      <w:spacing w:after="0" w:line="240" w:lineRule="auto"/>
      <w:ind w:left="-1440"/>
      <w:jc w:val="both"/>
    </w:pPr>
    <w:rPr>
      <w:rFonts w:ascii="Arial" w:hAnsi="Arial" w:cs="Arial"/>
      <w:sz w:val="24"/>
      <w:szCs w:val="24"/>
    </w:rPr>
  </w:style>
  <w:style w:type="paragraph" w:customStyle="1" w:styleId="Level8">
    <w:name w:val="Level 8"/>
    <w:uiPriority w:val="99"/>
    <w:pPr>
      <w:widowControl w:val="0"/>
      <w:autoSpaceDE w:val="0"/>
      <w:autoSpaceDN w:val="0"/>
      <w:adjustRightInd w:val="0"/>
      <w:spacing w:after="0" w:line="240" w:lineRule="auto"/>
      <w:ind w:left="-1440"/>
      <w:jc w:val="both"/>
    </w:pPr>
    <w:rPr>
      <w:rFonts w:ascii="Arial" w:hAnsi="Arial" w:cs="Arial"/>
      <w:sz w:val="24"/>
      <w:szCs w:val="24"/>
    </w:rPr>
  </w:style>
  <w:style w:type="paragraph" w:customStyle="1" w:styleId="Level9">
    <w:name w:val="Level 9"/>
    <w:uiPriority w:val="99"/>
    <w:pPr>
      <w:widowControl w:val="0"/>
      <w:autoSpaceDE w:val="0"/>
      <w:autoSpaceDN w:val="0"/>
      <w:adjustRightInd w:val="0"/>
      <w:spacing w:after="0" w:line="240" w:lineRule="auto"/>
      <w:ind w:left="-1440"/>
      <w:jc w:val="both"/>
    </w:pPr>
    <w:rPr>
      <w:rFonts w:ascii="Arial" w:hAnsi="Arial" w:cs="Arial"/>
      <w:b/>
      <w:bCs/>
      <w:sz w:val="24"/>
      <w:szCs w:val="24"/>
    </w:rPr>
  </w:style>
  <w:style w:type="paragraph" w:customStyle="1" w:styleId="ArticleTit1">
    <w:name w:val="ArticleTit1"/>
    <w:uiPriority w:val="99"/>
    <w:pPr>
      <w:widowControl w:val="0"/>
      <w:autoSpaceDE w:val="0"/>
      <w:autoSpaceDN w:val="0"/>
      <w:adjustRightInd w:val="0"/>
      <w:spacing w:after="0" w:line="240" w:lineRule="auto"/>
    </w:pPr>
    <w:rPr>
      <w:rFonts w:ascii="Arial" w:hAnsi="Arial" w:cs="Arial"/>
      <w:b/>
      <w:bCs/>
      <w:sz w:val="24"/>
      <w:szCs w:val="24"/>
      <w:u w:val="single"/>
    </w:rPr>
  </w:style>
  <w:style w:type="paragraph" w:customStyle="1" w:styleId="ArticleTit2">
    <w:name w:val="ArticleTit2"/>
    <w:uiPriority w:val="99"/>
    <w:pPr>
      <w:widowControl w:val="0"/>
      <w:autoSpaceDE w:val="0"/>
      <w:autoSpaceDN w:val="0"/>
      <w:adjustRightInd w:val="0"/>
      <w:spacing w:after="0" w:line="240" w:lineRule="auto"/>
    </w:pPr>
    <w:rPr>
      <w:rFonts w:ascii="Arial" w:hAnsi="Arial" w:cs="Arial"/>
      <w:i/>
      <w:iCs/>
      <w:sz w:val="24"/>
      <w:szCs w:val="24"/>
      <w:u w:val="single"/>
    </w:rPr>
  </w:style>
  <w:style w:type="paragraph" w:customStyle="1" w:styleId="ArticleTit3">
    <w:name w:val="ArticleTit3"/>
    <w:uiPriority w:val="99"/>
    <w:pPr>
      <w:widowControl w:val="0"/>
      <w:autoSpaceDE w:val="0"/>
      <w:autoSpaceDN w:val="0"/>
      <w:adjustRightInd w:val="0"/>
      <w:spacing w:after="0" w:line="240" w:lineRule="auto"/>
    </w:pPr>
    <w:rPr>
      <w:rFonts w:ascii="Arial" w:hAnsi="Arial" w:cs="Arial"/>
      <w:sz w:val="24"/>
      <w:szCs w:val="24"/>
      <w:u w:val="single"/>
    </w:rPr>
  </w:style>
  <w:style w:type="paragraph" w:customStyle="1" w:styleId="ArticleTit4">
    <w:name w:val="ArticleTit4"/>
    <w:uiPriority w:val="99"/>
    <w:pPr>
      <w:widowControl w:val="0"/>
      <w:autoSpaceDE w:val="0"/>
      <w:autoSpaceDN w:val="0"/>
      <w:adjustRightInd w:val="0"/>
      <w:spacing w:after="0" w:line="240" w:lineRule="auto"/>
    </w:pPr>
    <w:rPr>
      <w:rFonts w:ascii="Arial" w:hAnsi="Arial" w:cs="Arial"/>
      <w:smallCaps/>
      <w:sz w:val="24"/>
      <w:szCs w:val="24"/>
    </w:rPr>
  </w:style>
  <w:style w:type="paragraph" w:customStyle="1" w:styleId="ArticleTit5">
    <w:name w:val="ArticleTit5"/>
    <w:uiPriority w:val="99"/>
    <w:pPr>
      <w:widowControl w:val="0"/>
      <w:autoSpaceDE w:val="0"/>
      <w:autoSpaceDN w:val="0"/>
      <w:adjustRightInd w:val="0"/>
      <w:spacing w:after="0" w:line="240" w:lineRule="auto"/>
    </w:pPr>
    <w:rPr>
      <w:rFonts w:ascii="Arial" w:hAnsi="Arial" w:cs="Arial"/>
      <w:i/>
      <w:iCs/>
      <w:sz w:val="24"/>
      <w:szCs w:val="24"/>
    </w:rPr>
  </w:style>
  <w:style w:type="paragraph" w:customStyle="1" w:styleId="Heading0">
    <w:name w:val="Heading0"/>
    <w:uiPriority w:val="99"/>
    <w:pPr>
      <w:widowControl w:val="0"/>
      <w:autoSpaceDE w:val="0"/>
      <w:autoSpaceDN w:val="0"/>
      <w:adjustRightInd w:val="0"/>
      <w:spacing w:after="32" w:line="240" w:lineRule="auto"/>
      <w:jc w:val="center"/>
    </w:pPr>
    <w:rPr>
      <w:rFonts w:ascii="Arial" w:hAnsi="Arial" w:cs="Arial"/>
      <w:b/>
      <w:bCs/>
      <w:sz w:val="33"/>
      <w:szCs w:val="33"/>
    </w:rPr>
  </w:style>
  <w:style w:type="character" w:customStyle="1" w:styleId="GrayOut">
    <w:name w:val="GrayOut"/>
    <w:uiPriority w:val="99"/>
    <w:rPr>
      <w:color w:val="666666"/>
      <w:lang w:val="en-US" w:eastAsia="x-none"/>
    </w:rPr>
  </w:style>
  <w:style w:type="character" w:customStyle="1" w:styleId="SYSHYPERTEXT">
    <w:name w:val="SYS_HYPERTEXT"/>
    <w:uiPriority w:val="99"/>
    <w:rPr>
      <w:color w:val="0000FF"/>
      <w:u w:val="single"/>
      <w:lang w:val="en-US" w:eastAsia="x-none"/>
    </w:rPr>
  </w:style>
  <w:style w:type="character" w:styleId="Lienhypertexte">
    <w:name w:val="Hyperlink"/>
    <w:basedOn w:val="Policepardfaut"/>
    <w:uiPriority w:val="99"/>
    <w:unhideWhenUsed/>
    <w:rsid w:val="00A946D9"/>
    <w:rPr>
      <w:rFonts w:cs="Times New Roman"/>
      <w:color w:val="0000FF" w:themeColor="hyperlink"/>
      <w:u w:val="single"/>
    </w:rPr>
  </w:style>
  <w:style w:type="paragraph" w:styleId="En-tte">
    <w:name w:val="header"/>
    <w:basedOn w:val="Normal"/>
    <w:link w:val="En-tteCar"/>
    <w:uiPriority w:val="99"/>
    <w:unhideWhenUsed/>
    <w:rsid w:val="00B80566"/>
    <w:pPr>
      <w:tabs>
        <w:tab w:val="center" w:pos="4536"/>
        <w:tab w:val="right" w:pos="9072"/>
      </w:tabs>
    </w:pPr>
  </w:style>
  <w:style w:type="character" w:customStyle="1" w:styleId="En-tteCar">
    <w:name w:val="En-tête Car"/>
    <w:basedOn w:val="Policepardfaut"/>
    <w:link w:val="En-tte"/>
    <w:uiPriority w:val="99"/>
    <w:locked/>
    <w:rsid w:val="00B80566"/>
    <w:rPr>
      <w:rFonts w:ascii="Arial" w:hAnsi="Arial" w:cs="Arial"/>
      <w:sz w:val="20"/>
      <w:szCs w:val="20"/>
    </w:rPr>
  </w:style>
  <w:style w:type="paragraph" w:styleId="Pieddepage">
    <w:name w:val="footer"/>
    <w:basedOn w:val="Normal"/>
    <w:link w:val="PieddepageCar"/>
    <w:uiPriority w:val="99"/>
    <w:unhideWhenUsed/>
    <w:rsid w:val="00B80566"/>
    <w:pPr>
      <w:tabs>
        <w:tab w:val="center" w:pos="4536"/>
        <w:tab w:val="right" w:pos="9072"/>
      </w:tabs>
    </w:pPr>
  </w:style>
  <w:style w:type="character" w:customStyle="1" w:styleId="PieddepageCar">
    <w:name w:val="Pied de page Car"/>
    <w:basedOn w:val="Policepardfaut"/>
    <w:link w:val="Pieddepage"/>
    <w:uiPriority w:val="99"/>
    <w:locked/>
    <w:rsid w:val="00B80566"/>
    <w:rPr>
      <w:rFonts w:ascii="Arial" w:hAnsi="Arial" w:cs="Arial"/>
      <w:sz w:val="20"/>
      <w:szCs w:val="20"/>
    </w:rPr>
  </w:style>
  <w:style w:type="paragraph" w:styleId="Textedebulles">
    <w:name w:val="Balloon Text"/>
    <w:basedOn w:val="Normal"/>
    <w:link w:val="TextedebullesCar"/>
    <w:uiPriority w:val="99"/>
    <w:semiHidden/>
    <w:unhideWhenUsed/>
    <w:rsid w:val="00253F2D"/>
    <w:rPr>
      <w:rFonts w:ascii="Tahoma" w:hAnsi="Tahoma" w:cs="Tahoma"/>
      <w:sz w:val="16"/>
      <w:szCs w:val="16"/>
    </w:rPr>
  </w:style>
  <w:style w:type="character" w:customStyle="1" w:styleId="TextedebullesCar">
    <w:name w:val="Texte de bulles Car"/>
    <w:basedOn w:val="Policepardfaut"/>
    <w:link w:val="Textedebulles"/>
    <w:uiPriority w:val="99"/>
    <w:semiHidden/>
    <w:rsid w:val="00253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1">
    <w:name w:val="Level 1"/>
    <w:uiPriority w:val="99"/>
    <w:pPr>
      <w:widowControl w:val="0"/>
      <w:autoSpaceDE w:val="0"/>
      <w:autoSpaceDN w:val="0"/>
      <w:adjustRightInd w:val="0"/>
      <w:spacing w:after="0" w:line="240" w:lineRule="auto"/>
      <w:ind w:left="720"/>
      <w:jc w:val="both"/>
    </w:pPr>
    <w:rPr>
      <w:rFonts w:ascii="Arial" w:hAnsi="Arial" w:cs="Arial"/>
      <w:sz w:val="24"/>
      <w:szCs w:val="24"/>
    </w:rPr>
  </w:style>
  <w:style w:type="paragraph" w:customStyle="1" w:styleId="Level2">
    <w:name w:val="Level 2"/>
    <w:uiPriority w:val="99"/>
    <w:pPr>
      <w:widowControl w:val="0"/>
      <w:autoSpaceDE w:val="0"/>
      <w:autoSpaceDN w:val="0"/>
      <w:adjustRightInd w:val="0"/>
      <w:spacing w:after="0" w:line="240" w:lineRule="auto"/>
      <w:ind w:left="1440"/>
      <w:jc w:val="both"/>
    </w:pPr>
    <w:rPr>
      <w:rFonts w:ascii="Arial" w:hAnsi="Arial" w:cs="Arial"/>
      <w:sz w:val="24"/>
      <w:szCs w:val="24"/>
    </w:rPr>
  </w:style>
  <w:style w:type="paragraph" w:customStyle="1" w:styleId="Level3">
    <w:name w:val="Level 3"/>
    <w:uiPriority w:val="99"/>
    <w:pPr>
      <w:widowControl w:val="0"/>
      <w:autoSpaceDE w:val="0"/>
      <w:autoSpaceDN w:val="0"/>
      <w:adjustRightInd w:val="0"/>
      <w:spacing w:after="0" w:line="240" w:lineRule="auto"/>
      <w:ind w:left="2160"/>
      <w:jc w:val="both"/>
    </w:pPr>
    <w:rPr>
      <w:rFonts w:ascii="Arial" w:hAnsi="Arial" w:cs="Arial"/>
      <w:sz w:val="24"/>
      <w:szCs w:val="24"/>
    </w:rPr>
  </w:style>
  <w:style w:type="paragraph" w:customStyle="1" w:styleId="Level4">
    <w:name w:val="Level 4"/>
    <w:uiPriority w:val="99"/>
    <w:pPr>
      <w:widowControl w:val="0"/>
      <w:autoSpaceDE w:val="0"/>
      <w:autoSpaceDN w:val="0"/>
      <w:adjustRightInd w:val="0"/>
      <w:spacing w:after="0" w:line="240" w:lineRule="auto"/>
      <w:ind w:left="3600"/>
      <w:jc w:val="both"/>
    </w:pPr>
    <w:rPr>
      <w:rFonts w:ascii="Arial" w:hAnsi="Arial" w:cs="Arial"/>
      <w:sz w:val="24"/>
      <w:szCs w:val="24"/>
    </w:rPr>
  </w:style>
  <w:style w:type="paragraph" w:customStyle="1" w:styleId="Level5">
    <w:name w:val="Level 5"/>
    <w:uiPriority w:val="99"/>
    <w:pPr>
      <w:widowControl w:val="0"/>
      <w:autoSpaceDE w:val="0"/>
      <w:autoSpaceDN w:val="0"/>
      <w:adjustRightInd w:val="0"/>
      <w:spacing w:after="0" w:line="240" w:lineRule="auto"/>
      <w:ind w:left="4320"/>
      <w:jc w:val="both"/>
    </w:pPr>
    <w:rPr>
      <w:rFonts w:ascii="Arial" w:hAnsi="Arial" w:cs="Arial"/>
      <w:sz w:val="24"/>
      <w:szCs w:val="24"/>
    </w:rPr>
  </w:style>
  <w:style w:type="paragraph" w:customStyle="1" w:styleId="Level6">
    <w:name w:val="Level 6"/>
    <w:uiPriority w:val="99"/>
    <w:pPr>
      <w:widowControl w:val="0"/>
      <w:autoSpaceDE w:val="0"/>
      <w:autoSpaceDN w:val="0"/>
      <w:adjustRightInd w:val="0"/>
      <w:spacing w:after="0" w:line="240" w:lineRule="auto"/>
      <w:ind w:left="-1440"/>
      <w:jc w:val="both"/>
    </w:pPr>
    <w:rPr>
      <w:rFonts w:ascii="Arial" w:hAnsi="Arial" w:cs="Arial"/>
      <w:sz w:val="24"/>
      <w:szCs w:val="24"/>
    </w:rPr>
  </w:style>
  <w:style w:type="paragraph" w:customStyle="1" w:styleId="Level7">
    <w:name w:val="Level 7"/>
    <w:uiPriority w:val="99"/>
    <w:pPr>
      <w:widowControl w:val="0"/>
      <w:autoSpaceDE w:val="0"/>
      <w:autoSpaceDN w:val="0"/>
      <w:adjustRightInd w:val="0"/>
      <w:spacing w:after="0" w:line="240" w:lineRule="auto"/>
      <w:ind w:left="-1440"/>
      <w:jc w:val="both"/>
    </w:pPr>
    <w:rPr>
      <w:rFonts w:ascii="Arial" w:hAnsi="Arial" w:cs="Arial"/>
      <w:sz w:val="24"/>
      <w:szCs w:val="24"/>
    </w:rPr>
  </w:style>
  <w:style w:type="paragraph" w:customStyle="1" w:styleId="Level8">
    <w:name w:val="Level 8"/>
    <w:uiPriority w:val="99"/>
    <w:pPr>
      <w:widowControl w:val="0"/>
      <w:autoSpaceDE w:val="0"/>
      <w:autoSpaceDN w:val="0"/>
      <w:adjustRightInd w:val="0"/>
      <w:spacing w:after="0" w:line="240" w:lineRule="auto"/>
      <w:ind w:left="-1440"/>
      <w:jc w:val="both"/>
    </w:pPr>
    <w:rPr>
      <w:rFonts w:ascii="Arial" w:hAnsi="Arial" w:cs="Arial"/>
      <w:sz w:val="24"/>
      <w:szCs w:val="24"/>
    </w:rPr>
  </w:style>
  <w:style w:type="paragraph" w:customStyle="1" w:styleId="Level9">
    <w:name w:val="Level 9"/>
    <w:uiPriority w:val="99"/>
    <w:pPr>
      <w:widowControl w:val="0"/>
      <w:autoSpaceDE w:val="0"/>
      <w:autoSpaceDN w:val="0"/>
      <w:adjustRightInd w:val="0"/>
      <w:spacing w:after="0" w:line="240" w:lineRule="auto"/>
      <w:ind w:left="-1440"/>
      <w:jc w:val="both"/>
    </w:pPr>
    <w:rPr>
      <w:rFonts w:ascii="Arial" w:hAnsi="Arial" w:cs="Arial"/>
      <w:b/>
      <w:bCs/>
      <w:sz w:val="24"/>
      <w:szCs w:val="24"/>
    </w:rPr>
  </w:style>
  <w:style w:type="paragraph" w:customStyle="1" w:styleId="ArticleTit1">
    <w:name w:val="ArticleTit1"/>
    <w:uiPriority w:val="99"/>
    <w:pPr>
      <w:widowControl w:val="0"/>
      <w:autoSpaceDE w:val="0"/>
      <w:autoSpaceDN w:val="0"/>
      <w:adjustRightInd w:val="0"/>
      <w:spacing w:after="0" w:line="240" w:lineRule="auto"/>
    </w:pPr>
    <w:rPr>
      <w:rFonts w:ascii="Arial" w:hAnsi="Arial" w:cs="Arial"/>
      <w:b/>
      <w:bCs/>
      <w:sz w:val="24"/>
      <w:szCs w:val="24"/>
      <w:u w:val="single"/>
    </w:rPr>
  </w:style>
  <w:style w:type="paragraph" w:customStyle="1" w:styleId="ArticleTit2">
    <w:name w:val="ArticleTit2"/>
    <w:uiPriority w:val="99"/>
    <w:pPr>
      <w:widowControl w:val="0"/>
      <w:autoSpaceDE w:val="0"/>
      <w:autoSpaceDN w:val="0"/>
      <w:adjustRightInd w:val="0"/>
      <w:spacing w:after="0" w:line="240" w:lineRule="auto"/>
    </w:pPr>
    <w:rPr>
      <w:rFonts w:ascii="Arial" w:hAnsi="Arial" w:cs="Arial"/>
      <w:i/>
      <w:iCs/>
      <w:sz w:val="24"/>
      <w:szCs w:val="24"/>
      <w:u w:val="single"/>
    </w:rPr>
  </w:style>
  <w:style w:type="paragraph" w:customStyle="1" w:styleId="ArticleTit3">
    <w:name w:val="ArticleTit3"/>
    <w:uiPriority w:val="99"/>
    <w:pPr>
      <w:widowControl w:val="0"/>
      <w:autoSpaceDE w:val="0"/>
      <w:autoSpaceDN w:val="0"/>
      <w:adjustRightInd w:val="0"/>
      <w:spacing w:after="0" w:line="240" w:lineRule="auto"/>
    </w:pPr>
    <w:rPr>
      <w:rFonts w:ascii="Arial" w:hAnsi="Arial" w:cs="Arial"/>
      <w:sz w:val="24"/>
      <w:szCs w:val="24"/>
      <w:u w:val="single"/>
    </w:rPr>
  </w:style>
  <w:style w:type="paragraph" w:customStyle="1" w:styleId="ArticleTit4">
    <w:name w:val="ArticleTit4"/>
    <w:uiPriority w:val="99"/>
    <w:pPr>
      <w:widowControl w:val="0"/>
      <w:autoSpaceDE w:val="0"/>
      <w:autoSpaceDN w:val="0"/>
      <w:adjustRightInd w:val="0"/>
      <w:spacing w:after="0" w:line="240" w:lineRule="auto"/>
    </w:pPr>
    <w:rPr>
      <w:rFonts w:ascii="Arial" w:hAnsi="Arial" w:cs="Arial"/>
      <w:smallCaps/>
      <w:sz w:val="24"/>
      <w:szCs w:val="24"/>
    </w:rPr>
  </w:style>
  <w:style w:type="paragraph" w:customStyle="1" w:styleId="ArticleTit5">
    <w:name w:val="ArticleTit5"/>
    <w:uiPriority w:val="99"/>
    <w:pPr>
      <w:widowControl w:val="0"/>
      <w:autoSpaceDE w:val="0"/>
      <w:autoSpaceDN w:val="0"/>
      <w:adjustRightInd w:val="0"/>
      <w:spacing w:after="0" w:line="240" w:lineRule="auto"/>
    </w:pPr>
    <w:rPr>
      <w:rFonts w:ascii="Arial" w:hAnsi="Arial" w:cs="Arial"/>
      <w:i/>
      <w:iCs/>
      <w:sz w:val="24"/>
      <w:szCs w:val="24"/>
    </w:rPr>
  </w:style>
  <w:style w:type="paragraph" w:customStyle="1" w:styleId="Heading0">
    <w:name w:val="Heading0"/>
    <w:uiPriority w:val="99"/>
    <w:pPr>
      <w:widowControl w:val="0"/>
      <w:autoSpaceDE w:val="0"/>
      <w:autoSpaceDN w:val="0"/>
      <w:adjustRightInd w:val="0"/>
      <w:spacing w:after="32" w:line="240" w:lineRule="auto"/>
      <w:jc w:val="center"/>
    </w:pPr>
    <w:rPr>
      <w:rFonts w:ascii="Arial" w:hAnsi="Arial" w:cs="Arial"/>
      <w:b/>
      <w:bCs/>
      <w:sz w:val="33"/>
      <w:szCs w:val="33"/>
    </w:rPr>
  </w:style>
  <w:style w:type="character" w:customStyle="1" w:styleId="GrayOut">
    <w:name w:val="GrayOut"/>
    <w:uiPriority w:val="99"/>
    <w:rPr>
      <w:color w:val="666666"/>
      <w:lang w:val="en-US" w:eastAsia="x-none"/>
    </w:rPr>
  </w:style>
  <w:style w:type="character" w:customStyle="1" w:styleId="SYSHYPERTEXT">
    <w:name w:val="SYS_HYPERTEXT"/>
    <w:uiPriority w:val="99"/>
    <w:rPr>
      <w:color w:val="0000FF"/>
      <w:u w:val="single"/>
      <w:lang w:val="en-US" w:eastAsia="x-none"/>
    </w:rPr>
  </w:style>
  <w:style w:type="character" w:styleId="Lienhypertexte">
    <w:name w:val="Hyperlink"/>
    <w:basedOn w:val="Policepardfaut"/>
    <w:uiPriority w:val="99"/>
    <w:unhideWhenUsed/>
    <w:rsid w:val="00A946D9"/>
    <w:rPr>
      <w:rFonts w:cs="Times New Roman"/>
      <w:color w:val="0000FF" w:themeColor="hyperlink"/>
      <w:u w:val="single"/>
    </w:rPr>
  </w:style>
  <w:style w:type="paragraph" w:styleId="En-tte">
    <w:name w:val="header"/>
    <w:basedOn w:val="Normal"/>
    <w:link w:val="En-tteCar"/>
    <w:uiPriority w:val="99"/>
    <w:unhideWhenUsed/>
    <w:rsid w:val="00B80566"/>
    <w:pPr>
      <w:tabs>
        <w:tab w:val="center" w:pos="4536"/>
        <w:tab w:val="right" w:pos="9072"/>
      </w:tabs>
    </w:pPr>
  </w:style>
  <w:style w:type="character" w:customStyle="1" w:styleId="En-tteCar">
    <w:name w:val="En-tête Car"/>
    <w:basedOn w:val="Policepardfaut"/>
    <w:link w:val="En-tte"/>
    <w:uiPriority w:val="99"/>
    <w:locked/>
    <w:rsid w:val="00B80566"/>
    <w:rPr>
      <w:rFonts w:ascii="Arial" w:hAnsi="Arial" w:cs="Arial"/>
      <w:sz w:val="20"/>
      <w:szCs w:val="20"/>
    </w:rPr>
  </w:style>
  <w:style w:type="paragraph" w:styleId="Pieddepage">
    <w:name w:val="footer"/>
    <w:basedOn w:val="Normal"/>
    <w:link w:val="PieddepageCar"/>
    <w:uiPriority w:val="99"/>
    <w:unhideWhenUsed/>
    <w:rsid w:val="00B80566"/>
    <w:pPr>
      <w:tabs>
        <w:tab w:val="center" w:pos="4536"/>
        <w:tab w:val="right" w:pos="9072"/>
      </w:tabs>
    </w:pPr>
  </w:style>
  <w:style w:type="character" w:customStyle="1" w:styleId="PieddepageCar">
    <w:name w:val="Pied de page Car"/>
    <w:basedOn w:val="Policepardfaut"/>
    <w:link w:val="Pieddepage"/>
    <w:uiPriority w:val="99"/>
    <w:locked/>
    <w:rsid w:val="00B80566"/>
    <w:rPr>
      <w:rFonts w:ascii="Arial" w:hAnsi="Arial" w:cs="Arial"/>
      <w:sz w:val="20"/>
      <w:szCs w:val="20"/>
    </w:rPr>
  </w:style>
  <w:style w:type="paragraph" w:styleId="Textedebulles">
    <w:name w:val="Balloon Text"/>
    <w:basedOn w:val="Normal"/>
    <w:link w:val="TextedebullesCar"/>
    <w:uiPriority w:val="99"/>
    <w:semiHidden/>
    <w:unhideWhenUsed/>
    <w:rsid w:val="00253F2D"/>
    <w:rPr>
      <w:rFonts w:ascii="Tahoma" w:hAnsi="Tahoma" w:cs="Tahoma"/>
      <w:sz w:val="16"/>
      <w:szCs w:val="16"/>
    </w:rPr>
  </w:style>
  <w:style w:type="character" w:customStyle="1" w:styleId="TextedebullesCar">
    <w:name w:val="Texte de bulles Car"/>
    <w:basedOn w:val="Policepardfaut"/>
    <w:link w:val="Textedebulles"/>
    <w:uiPriority w:val="99"/>
    <w:semiHidden/>
    <w:rsid w:val="00253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trepreneur-interet-general.etalab.gouv.fr/"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ashboard.covid19.data.gouv.fr/"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oc.eig-forever.org/" TargetMode="External"/><Relationship Id="rId13" Type="http://schemas.openxmlformats.org/officeDocument/2006/relationships/hyperlink" Target="https://piaf.etalab.studio/fin" TargetMode="External"/><Relationship Id="rId18" Type="http://schemas.openxmlformats.org/officeDocument/2006/relationships/hyperlink" Target="https://wiki.lafabriquedesmobilites.fr/wiki/Mon_Compte_Mobilit%C3%A9" TargetMode="External"/><Relationship Id="rId3" Type="http://schemas.openxmlformats.org/officeDocument/2006/relationships/hyperlink" Target="https://www.legifrance.gouv.fr/affichTexte.do?cidTexte=JORFTEXT000033202746" TargetMode="External"/><Relationship Id="rId7" Type="http://schemas.openxmlformats.org/officeDocument/2006/relationships/hyperlink" Target="https://www.dailymotion.com/video/x4fdfed" TargetMode="External"/><Relationship Id="rId12" Type="http://schemas.openxmlformats.org/officeDocument/2006/relationships/hyperlink" Target="https://piaf.etalab.studio/application-piaf/" TargetMode="External"/><Relationship Id="rId17" Type="http://schemas.openxmlformats.org/officeDocument/2006/relationships/hyperlink" Target="https://wiki.lafabriquedesmobilites.fr/wiki/Preuve_de_covoiturage" TargetMode="External"/><Relationship Id="rId2" Type="http://schemas.openxmlformats.org/officeDocument/2006/relationships/hyperlink" Target="https://revolution.chnm.org/exhibits/show/liberty--equality--fraternity/item/555" TargetMode="External"/><Relationship Id="rId16" Type="http://schemas.openxmlformats.org/officeDocument/2006/relationships/hyperlink" Target="https://wiki.lafabriquedesmobilites.fr/wiki/Communs" TargetMode="External"/><Relationship Id="rId1" Type="http://schemas.openxmlformats.org/officeDocument/2006/relationships/hyperlink" Target="https://publiccode.eu/openletter/" TargetMode="External"/><Relationship Id="rId6" Type="http://schemas.openxmlformats.org/officeDocument/2006/relationships/hyperlink" Target="https://www.etalab.gouv.fr/acteurs-publics-et-societe-civile-sassocient-pour-la-constitution-dune-base-adresse-nationale-ban-collaborative" TargetMode="External"/><Relationship Id="rId11" Type="http://schemas.openxmlformats.org/officeDocument/2006/relationships/hyperlink" Target="https://entrepreneur-interet-general.etalab.gouv.fr/blog/2018/10/12/retour-sur-atelier-wikipedia-au-mobilier-national.html" TargetMode="External"/><Relationship Id="rId5" Type="http://schemas.openxmlformats.org/officeDocument/2006/relationships/hyperlink" Target="https://covid-initiatives.org/" TargetMode="External"/><Relationship Id="rId15" Type="http://schemas.openxmlformats.org/officeDocument/2006/relationships/hyperlink" Target="https://www.aclweb.org/anthology/2020.lrec-1.673/" TargetMode="External"/><Relationship Id="rId10" Type="http://schemas.openxmlformats.org/officeDocument/2006/relationships/hyperlink" Target="https://entrepreneur-interet-general.etalab.gouv.fr/" TargetMode="External"/><Relationship Id="rId4" Type="http://schemas.openxmlformats.org/officeDocument/2006/relationships/hyperlink" Target="https://www.legifrance.gouv.fr/loda/id/JORFTEXT000000339241/2020-12-12/" TargetMode="External"/><Relationship Id="rId9" Type="http://schemas.openxmlformats.org/officeDocument/2006/relationships/hyperlink" Target="https://github.com/entrepreneur-interet-general/" TargetMode="External"/><Relationship Id="rId14" Type="http://schemas.openxmlformats.org/officeDocument/2006/relationships/hyperlink" Target="https://piaf.etalab.studio/enseignements-contributi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DB55B-5348-41C3-8388-7A0191C7E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1656</Words>
  <Characters>9445</Characters>
  <Application>Microsoft Office Word</Application>
  <DocSecurity>0</DocSecurity>
  <Lines>160</Lines>
  <Paragraphs>35</Paragraphs>
  <ScaleCrop>false</ScaleCrop>
  <HeadingPairs>
    <vt:vector size="2" baseType="variant">
      <vt:variant>
        <vt:lpstr>Titre</vt:lpstr>
      </vt:variant>
      <vt:variant>
        <vt:i4>1</vt:i4>
      </vt:variant>
    </vt:vector>
  </HeadingPairs>
  <TitlesOfParts>
    <vt:vector size="1" baseType="lpstr">
      <vt:lpstr>new.wpd</vt:lpstr>
    </vt:vector>
  </TitlesOfParts>
  <Company/>
  <LinksUpToDate>false</LinksUpToDate>
  <CharactersWithSpaces>11066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new.wpd</dc:title>
  <dc:creator>Windows User</dc:creator>
  <cp:lastModifiedBy>Windows User</cp:lastModifiedBy>
  <cp:revision>5</cp:revision>
  <dcterms:created xsi:type="dcterms:W3CDTF">2021-09-02T11:09:00Z</dcterms:created>
  <dcterms:modified xsi:type="dcterms:W3CDTF">2021-09-02T11:19:00Z</dcterms:modified>
</cp:coreProperties>
</file>